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关于呈报赤峰学院2019-2020学年本科教学质量报告的报告</w:t>
      </w:r>
    </w:p>
    <w:p>
      <w:pPr>
        <w:jc w:val="left"/>
        <w:rPr>
          <w:rFonts w:asciiTheme="minorEastAsia" w:hAnsiTheme="minorEastAsia" w:eastAsiaTheme="minorEastAsia" w:cstheme="minorEastAsia"/>
          <w:bCs/>
          <w:sz w:val="28"/>
          <w:szCs w:val="28"/>
        </w:rPr>
      </w:pP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内蒙古自治区教育厅高等教育处：</w:t>
      </w:r>
    </w:p>
    <w:p>
      <w:pPr>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根据《国务院教育督导委员会办公室关于普通高等学校编制发布2019-2020学年&lt;本科教学质量报告&gt;的通知》（国教督办函〔2020〕42号）要求和自治区教育厅《关于做好2019-2020学年本科高等教育质量报告工作的通知》要求，赤峰学院高度重视高等教育质量报告撰写工作，组织相关人员客观准确地采集了数据并撰写成文。</w:t>
      </w:r>
    </w:p>
    <w:p>
      <w:pPr>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现将《赤峰学院2019-2020学年本科教学质量报告》《</w:t>
      </w:r>
      <w:r>
        <w:rPr>
          <w:rFonts w:hint="eastAsia" w:asciiTheme="minorEastAsia" w:hAnsiTheme="minorEastAsia" w:eastAsiaTheme="minorEastAsia" w:cstheme="minorEastAsia"/>
          <w:bCs/>
          <w:sz w:val="28"/>
          <w:szCs w:val="28"/>
          <w:lang w:val="zh-CN"/>
        </w:rPr>
        <w:t>赤峰学院</w:t>
      </w:r>
      <w:r>
        <w:rPr>
          <w:rFonts w:hint="eastAsia" w:asciiTheme="minorEastAsia" w:hAnsiTheme="minorEastAsia" w:eastAsiaTheme="minorEastAsia" w:cstheme="minorEastAsia"/>
          <w:bCs/>
          <w:sz w:val="28"/>
          <w:szCs w:val="28"/>
        </w:rPr>
        <w:t>2019-2020学年</w:t>
      </w:r>
      <w:r>
        <w:rPr>
          <w:rFonts w:hint="eastAsia" w:asciiTheme="minorEastAsia" w:hAnsiTheme="minorEastAsia" w:eastAsiaTheme="minorEastAsia" w:cstheme="minorEastAsia"/>
          <w:bCs/>
          <w:sz w:val="28"/>
          <w:szCs w:val="28"/>
          <w:lang w:val="zh-CN"/>
        </w:rPr>
        <w:t>本科教学质量报告支撑数据表格</w:t>
      </w:r>
      <w:r>
        <w:rPr>
          <w:rFonts w:hint="eastAsia" w:asciiTheme="minorEastAsia" w:hAnsiTheme="minorEastAsia" w:eastAsiaTheme="minorEastAsia" w:cstheme="minorEastAsia"/>
          <w:bCs/>
          <w:sz w:val="28"/>
          <w:szCs w:val="28"/>
        </w:rPr>
        <w:t>》呈报贵处。</w:t>
      </w:r>
    </w:p>
    <w:p>
      <w:pPr>
        <w:ind w:firstLine="560" w:firstLineChars="200"/>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特此报告。</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附件：1.赤峰学院2019-2020学年本科教学质量报告</w:t>
      </w:r>
    </w:p>
    <w:p>
      <w:pPr>
        <w:jc w:val="left"/>
        <w:rPr>
          <w:rFonts w:asciiTheme="minorEastAsia" w:hAnsiTheme="minorEastAsia" w:eastAsiaTheme="minorEastAsia" w:cstheme="minorEastAsia"/>
          <w:bCs/>
          <w:sz w:val="28"/>
          <w:szCs w:val="28"/>
          <w:lang w:val="zh-CN"/>
        </w:rPr>
      </w:pPr>
      <w:r>
        <w:rPr>
          <w:rFonts w:hint="eastAsia" w:asciiTheme="minorEastAsia" w:hAnsiTheme="minorEastAsia" w:eastAsiaTheme="minorEastAsia" w:cstheme="minorEastAsia"/>
          <w:bCs/>
          <w:sz w:val="28"/>
          <w:szCs w:val="28"/>
        </w:rPr>
        <w:t>   2.</w:t>
      </w:r>
      <w:r>
        <w:rPr>
          <w:rFonts w:hint="eastAsia" w:asciiTheme="minorEastAsia" w:hAnsiTheme="minorEastAsia" w:eastAsiaTheme="minorEastAsia" w:cstheme="minorEastAsia"/>
          <w:bCs/>
          <w:sz w:val="28"/>
          <w:szCs w:val="28"/>
          <w:lang w:val="zh-CN"/>
        </w:rPr>
        <w:t>赤峰学院</w:t>
      </w:r>
      <w:r>
        <w:rPr>
          <w:rFonts w:hint="eastAsia" w:asciiTheme="minorEastAsia" w:hAnsiTheme="minorEastAsia" w:eastAsiaTheme="minorEastAsia" w:cstheme="minorEastAsia"/>
          <w:bCs/>
          <w:sz w:val="28"/>
          <w:szCs w:val="28"/>
        </w:rPr>
        <w:t>2019-2020学年</w:t>
      </w:r>
      <w:r>
        <w:rPr>
          <w:rFonts w:hint="eastAsia" w:asciiTheme="minorEastAsia" w:hAnsiTheme="minorEastAsia" w:eastAsiaTheme="minorEastAsia" w:cstheme="minorEastAsia"/>
          <w:bCs/>
          <w:sz w:val="28"/>
          <w:szCs w:val="28"/>
          <w:lang w:val="zh-CN"/>
        </w:rPr>
        <w:t>本科教学质量报告支撑数据表格</w:t>
      </w:r>
    </w:p>
    <w:p>
      <w:pPr>
        <w:jc w:val="left"/>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w:t>
      </w:r>
    </w:p>
    <w:p>
      <w:pPr>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赤峰学院</w:t>
      </w:r>
    </w:p>
    <w:p>
      <w:pPr>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2020年10月19日</w:t>
      </w:r>
    </w:p>
    <w:p>
      <w:pPr>
        <w:jc w:val="center"/>
        <w:rPr>
          <w:rFonts w:ascii="Times New Roman" w:hAnsi="黑体" w:eastAsia="黑体"/>
          <w:bCs/>
          <w:sz w:val="36"/>
          <w:szCs w:val="36"/>
        </w:rPr>
      </w:pPr>
    </w:p>
    <w:p>
      <w:pPr>
        <w:jc w:val="center"/>
        <w:rPr>
          <w:rFonts w:ascii="Times New Roman" w:hAnsi="黑体" w:eastAsia="黑体"/>
          <w:bCs/>
          <w:sz w:val="36"/>
          <w:szCs w:val="36"/>
        </w:rPr>
      </w:pPr>
    </w:p>
    <w:p>
      <w:pPr>
        <w:jc w:val="center"/>
        <w:rPr>
          <w:rFonts w:ascii="Times New Roman" w:hAnsi="黑体" w:eastAsia="黑体"/>
          <w:bCs/>
          <w:sz w:val="36"/>
          <w:szCs w:val="36"/>
        </w:rPr>
      </w:pPr>
    </w:p>
    <w:p>
      <w:pPr>
        <w:jc w:val="center"/>
        <w:rPr>
          <w:rFonts w:ascii="Times New Roman" w:hAnsi="黑体" w:eastAsia="黑体"/>
          <w:bCs/>
          <w:sz w:val="36"/>
          <w:szCs w:val="36"/>
        </w:rPr>
      </w:pPr>
    </w:p>
    <w:p>
      <w:pPr>
        <w:jc w:val="center"/>
        <w:rPr>
          <w:rFonts w:ascii="Times New Roman" w:hAnsi="黑体" w:eastAsia="黑体"/>
          <w:bCs/>
          <w:sz w:val="36"/>
          <w:szCs w:val="36"/>
        </w:rPr>
      </w:pPr>
    </w:p>
    <w:p>
      <w:pPr>
        <w:jc w:val="center"/>
        <w:rPr>
          <w:rFonts w:ascii="黑体" w:hAnsi="黑体" w:eastAsia="黑体"/>
          <w:b/>
          <w:bCs/>
          <w:sz w:val="36"/>
          <w:szCs w:val="36"/>
        </w:rPr>
      </w:pPr>
      <w:r>
        <w:rPr>
          <w:rFonts w:ascii="黑体" w:hAnsi="黑体" w:eastAsia="黑体"/>
          <w:b/>
          <w:bCs/>
          <w:sz w:val="36"/>
          <w:szCs w:val="36"/>
        </w:rPr>
        <w:t>赤峰学院201</w:t>
      </w:r>
      <w:r>
        <w:rPr>
          <w:rFonts w:hint="eastAsia" w:ascii="黑体" w:hAnsi="黑体" w:eastAsia="黑体"/>
          <w:b/>
          <w:bCs/>
          <w:sz w:val="36"/>
          <w:szCs w:val="36"/>
        </w:rPr>
        <w:t>9</w:t>
      </w:r>
      <w:r>
        <w:rPr>
          <w:rFonts w:ascii="黑体" w:hAnsi="黑体" w:eastAsia="黑体"/>
          <w:b/>
          <w:bCs/>
          <w:sz w:val="36"/>
          <w:szCs w:val="36"/>
        </w:rPr>
        <w:t>-20</w:t>
      </w:r>
      <w:r>
        <w:rPr>
          <w:rFonts w:hint="eastAsia" w:ascii="黑体" w:hAnsi="黑体" w:eastAsia="黑体"/>
          <w:b/>
          <w:bCs/>
          <w:sz w:val="36"/>
          <w:szCs w:val="36"/>
        </w:rPr>
        <w:t>20</w:t>
      </w:r>
      <w:r>
        <w:rPr>
          <w:rFonts w:ascii="黑体" w:hAnsi="黑体" w:eastAsia="黑体"/>
          <w:b/>
          <w:bCs/>
          <w:sz w:val="36"/>
          <w:szCs w:val="36"/>
        </w:rPr>
        <w:t>学年本科教学质量报告</w:t>
      </w:r>
    </w:p>
    <w:p>
      <w:pPr>
        <w:jc w:val="center"/>
        <w:rPr>
          <w:rFonts w:ascii="黑体" w:hAnsi="黑体" w:eastAsia="黑体"/>
          <w:b/>
          <w:bCs/>
          <w:sz w:val="36"/>
          <w:szCs w:val="36"/>
        </w:rPr>
      </w:pP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赤峰学院（</w:t>
      </w:r>
      <w:r>
        <w:rPr>
          <w:rFonts w:asciiTheme="minorEastAsia" w:hAnsiTheme="minorEastAsia" w:eastAsiaTheme="minorEastAsia"/>
          <w:spacing w:val="-2"/>
          <w:kern w:val="0"/>
          <w:sz w:val="24"/>
        </w:rPr>
        <w:t>Chifeng University</w:t>
      </w:r>
      <w:r>
        <w:rPr>
          <w:rFonts w:asciiTheme="minorEastAsia" w:hAnsiTheme="minorEastAsia" w:eastAsiaTheme="minorEastAsia"/>
          <w:kern w:val="0"/>
          <w:sz w:val="24"/>
        </w:rPr>
        <w:t>）位于闻名遐迩的“红山文化”发祥地——内蒙古赤峰市，是赤峰市唯一一所全日制综合性普通本科高等学校。</w:t>
      </w:r>
      <w:r>
        <w:rPr>
          <w:rFonts w:hint="eastAsia" w:asciiTheme="minorEastAsia" w:hAnsiTheme="minorEastAsia" w:eastAsiaTheme="minorEastAsia"/>
          <w:kern w:val="0"/>
          <w:sz w:val="24"/>
        </w:rPr>
        <w:t>学校办学历史可追溯至1957年创办的赤峰师范学校。2003年，经中华人民共和国教育部批准，赤峰民族师范高等专科学校、赤峰教育学院、内蒙古广播电视大学赤峰分校三所高校合并，同时并入赤峰卫生学校、内蒙古幼儿师范学校部分优质资源组建成立赤峰学院。2011年，作为国家新一轮本科教学工作合格评估的首家被评高校，学校顺利通过评估，并入选全国高校以评促建先进典型案例库。同年，学校获批“服务国家特殊需求人才培养项目”—学士学位授予单位开展培养硕士专业学位研究生试点工作建设单位，填补了自治区文博硕士专业学位研究生教育的空白。2013年，学校实施了国家留学基金委的ISEC项目，引入国际先进教学理念和模式，有力促进了学校的教学改革。2015年以来，学校以“校企合作、协同育人”为突破口，实现了部分专业的一本招生。2016年，学校凭借在率先转型发展方面取得的明显成效，被确立为自治区转型发展试点院校，同时被列入全国百所“产教融合发展工程建设规划项目应用型本科院校”。2018年5月，经国务院学位委员会批准，学校成为新增硕士学位授予单位，同时获批了教育、文物与博物馆硕士专业学位授权点。2018年学校顺利通过了教育部“本科教学审核评估”。</w:t>
      </w:r>
    </w:p>
    <w:p>
      <w:pPr>
        <w:spacing w:line="400" w:lineRule="exact"/>
        <w:ind w:firstLine="480" w:firstLineChars="200"/>
        <w:rPr>
          <w:rFonts w:ascii="Times New Roman" w:hAnsi="Times New Roman"/>
          <w:kern w:val="0"/>
          <w:sz w:val="24"/>
        </w:rPr>
      </w:pPr>
      <w:r>
        <w:rPr>
          <w:rFonts w:asciiTheme="minorEastAsia" w:hAnsiTheme="minorEastAsia" w:eastAsiaTheme="minorEastAsia"/>
          <w:kern w:val="0"/>
          <w:sz w:val="24"/>
        </w:rPr>
        <w:t>学校以习近平新时代中国特色社会主义思想为指导，全面贯彻落实党的十九大精神，坚持中国特色社会主义办学方向，按照党中央“五位一体”总体布局和“四个全面”战略布局，</w:t>
      </w:r>
      <w:r>
        <w:rPr>
          <w:rFonts w:hint="eastAsia" w:asciiTheme="minorEastAsia" w:hAnsiTheme="minorEastAsia" w:eastAsiaTheme="minorEastAsia"/>
          <w:kern w:val="0"/>
          <w:sz w:val="24"/>
        </w:rPr>
        <w:t>贯彻落实国家高等教育改革战略部署，</w:t>
      </w:r>
      <w:r>
        <w:rPr>
          <w:rFonts w:asciiTheme="minorEastAsia" w:hAnsiTheme="minorEastAsia" w:eastAsiaTheme="minorEastAsia"/>
          <w:kern w:val="0"/>
          <w:sz w:val="24"/>
        </w:rPr>
        <w:t>以培养担当民族复兴大任的时代新人为目标，秉承“经世致用、立己达人”的校训以及“厚德博学、务实创新、开放包容、勤勉奋进”的大学精神</w:t>
      </w:r>
      <w:r>
        <w:rPr>
          <w:rFonts w:hint="eastAsia" w:asciiTheme="minorEastAsia" w:hAnsiTheme="minorEastAsia" w:eastAsiaTheme="minorEastAsia"/>
          <w:kern w:val="0"/>
          <w:sz w:val="24"/>
        </w:rPr>
        <w:t>，</w:t>
      </w:r>
      <w:r>
        <w:rPr>
          <w:rFonts w:asciiTheme="minorEastAsia" w:hAnsiTheme="minorEastAsia" w:eastAsiaTheme="minorEastAsia"/>
          <w:kern w:val="0"/>
          <w:sz w:val="24"/>
        </w:rPr>
        <w:t>以立德树人为根本任务，</w:t>
      </w:r>
      <w:r>
        <w:rPr>
          <w:rFonts w:hint="eastAsia" w:asciiTheme="minorEastAsia" w:hAnsiTheme="minorEastAsia" w:eastAsiaTheme="minorEastAsia"/>
          <w:kern w:val="0"/>
          <w:sz w:val="24"/>
        </w:rPr>
        <w:t>坚持</w:t>
      </w:r>
      <w:r>
        <w:rPr>
          <w:rFonts w:asciiTheme="minorEastAsia" w:hAnsiTheme="minorEastAsia" w:eastAsiaTheme="minorEastAsia"/>
          <w:kern w:val="0"/>
          <w:sz w:val="24"/>
        </w:rPr>
        <w:t>“融入赤峰、服务地方、突出特色、转型发展”的办学理念，深入推进转型发展，</w:t>
      </w:r>
      <w:r>
        <w:rPr>
          <w:rFonts w:hint="eastAsia" w:asciiTheme="minorEastAsia" w:hAnsiTheme="minorEastAsia" w:eastAsiaTheme="minorEastAsia"/>
          <w:kern w:val="0"/>
          <w:sz w:val="24"/>
        </w:rPr>
        <w:t>坚持开门开放办学，持续改善办学条件，不断深化教育教学改革，强化人才队伍建设，持续改善办学条件，</w:t>
      </w:r>
      <w:r>
        <w:rPr>
          <w:rFonts w:asciiTheme="minorEastAsia" w:hAnsiTheme="minorEastAsia" w:eastAsiaTheme="minorEastAsia"/>
          <w:kern w:val="0"/>
          <w:sz w:val="24"/>
        </w:rPr>
        <w:t>突出地方性、民族性和应用性的办学特色，全面提高人才培养质量和服务区域经济社会发展能力，着力建设</w:t>
      </w:r>
      <w:r>
        <w:rPr>
          <w:rFonts w:hint="eastAsia" w:asciiTheme="minorEastAsia" w:hAnsiTheme="minorEastAsia" w:eastAsiaTheme="minorEastAsia"/>
          <w:kern w:val="0"/>
          <w:sz w:val="24"/>
        </w:rPr>
        <w:t>有鲜明地方和民族特色的应用型综合大学，成为内蒙古中东部地区重要的人才培养高地和科技文化创新与服务基地，为赤峰市及其周边地区的经济社会发展提供人才和智力支持</w:t>
      </w:r>
      <w:r>
        <w:rPr>
          <w:rFonts w:hint="eastAsia" w:asciiTheme="minorEastAsia" w:hAnsiTheme="minorEastAsia" w:eastAsiaTheme="minorEastAsia"/>
          <w:kern w:val="0"/>
          <w:sz w:val="24"/>
          <w:lang w:eastAsia="zh-CN"/>
        </w:rPr>
        <w:t>，为建成赤峰大学和建设具有鲜明地方和民族特色的应用型综合大学而不懈奋斗。</w:t>
      </w:r>
    </w:p>
    <w:p>
      <w:pPr>
        <w:numPr>
          <w:ilvl w:val="0"/>
          <w:numId w:val="1"/>
        </w:numPr>
        <w:ind w:firstLine="600" w:firstLineChars="200"/>
        <w:rPr>
          <w:rFonts w:ascii="Times New Roman" w:hAnsi="Times New Roman" w:eastAsia="黑体"/>
          <w:kern w:val="0"/>
          <w:sz w:val="30"/>
          <w:szCs w:val="30"/>
        </w:rPr>
      </w:pPr>
      <w:r>
        <w:rPr>
          <w:rFonts w:ascii="Times New Roman" w:hAnsi="黑体" w:eastAsia="黑体"/>
          <w:kern w:val="0"/>
          <w:sz w:val="30"/>
          <w:szCs w:val="30"/>
        </w:rPr>
        <w:t>本科教育基本情况</w:t>
      </w:r>
    </w:p>
    <w:p>
      <w:pPr>
        <w:numPr>
          <w:ilvl w:val="0"/>
          <w:numId w:val="2"/>
        </w:numPr>
        <w:jc w:val="left"/>
        <w:rPr>
          <w:rFonts w:ascii="Times New Roman" w:hAnsi="Times New Roman" w:eastAsia="黑体"/>
          <w:kern w:val="0"/>
          <w:sz w:val="28"/>
          <w:szCs w:val="28"/>
        </w:rPr>
      </w:pPr>
      <w:r>
        <w:rPr>
          <w:rFonts w:ascii="Times New Roman" w:hAnsi="黑体" w:eastAsia="黑体"/>
          <w:kern w:val="0"/>
          <w:sz w:val="28"/>
          <w:szCs w:val="28"/>
        </w:rPr>
        <w:t>办学定位</w:t>
      </w:r>
    </w:p>
    <w:p>
      <w:pPr>
        <w:spacing w:line="400" w:lineRule="exact"/>
        <w:ind w:firstLine="482" w:firstLineChars="200"/>
        <w:rPr>
          <w:rFonts w:asciiTheme="minorEastAsia" w:hAnsiTheme="minorEastAsia" w:eastAsiaTheme="minorEastAsia"/>
          <w:kern w:val="0"/>
          <w:sz w:val="24"/>
        </w:rPr>
      </w:pPr>
      <w:r>
        <w:rPr>
          <w:rFonts w:ascii="Times New Roman" w:hAnsi="宋体"/>
          <w:b/>
          <w:bCs/>
          <w:sz w:val="24"/>
        </w:rPr>
        <w:t>办</w:t>
      </w:r>
      <w:r>
        <w:rPr>
          <w:rFonts w:asciiTheme="minorEastAsia" w:hAnsiTheme="minorEastAsia" w:eastAsiaTheme="minorEastAsia"/>
          <w:b/>
          <w:kern w:val="0"/>
          <w:sz w:val="24"/>
        </w:rPr>
        <w:t>学层次类型定位</w:t>
      </w:r>
      <w:r>
        <w:rPr>
          <w:rFonts w:asciiTheme="minorEastAsia" w:hAnsiTheme="minorEastAsia" w:eastAsiaTheme="minorEastAsia"/>
          <w:kern w:val="0"/>
          <w:sz w:val="24"/>
        </w:rPr>
        <w:t>：以本科教育为主体，积极发展研究生教育，适度发展国际合作教育，与高职院校合作发展职业教育，努力拓展继续教育。</w:t>
      </w:r>
    </w:p>
    <w:p>
      <w:pPr>
        <w:spacing w:line="400" w:lineRule="exact"/>
        <w:ind w:firstLine="482" w:firstLineChars="200"/>
        <w:rPr>
          <w:rFonts w:asciiTheme="minorEastAsia" w:hAnsiTheme="minorEastAsia" w:eastAsiaTheme="minorEastAsia"/>
          <w:kern w:val="0"/>
          <w:sz w:val="24"/>
        </w:rPr>
      </w:pPr>
      <w:r>
        <w:rPr>
          <w:rFonts w:asciiTheme="minorEastAsia" w:hAnsiTheme="minorEastAsia" w:eastAsiaTheme="minorEastAsia"/>
          <w:b/>
          <w:kern w:val="0"/>
          <w:sz w:val="24"/>
        </w:rPr>
        <w:t>服务面向定位</w:t>
      </w:r>
      <w:r>
        <w:rPr>
          <w:rFonts w:asciiTheme="minorEastAsia" w:hAnsiTheme="minorEastAsia" w:eastAsiaTheme="minorEastAsia"/>
          <w:kern w:val="0"/>
          <w:sz w:val="24"/>
        </w:rPr>
        <w:t>：立足赤峰、面向全区、辐射周边。</w:t>
      </w:r>
    </w:p>
    <w:p>
      <w:pPr>
        <w:spacing w:line="400" w:lineRule="exact"/>
        <w:ind w:firstLine="482" w:firstLineChars="200"/>
        <w:rPr>
          <w:rFonts w:asciiTheme="minorEastAsia" w:hAnsiTheme="minorEastAsia" w:eastAsiaTheme="minorEastAsia"/>
          <w:color w:val="FF0000"/>
          <w:kern w:val="0"/>
          <w:sz w:val="24"/>
          <w:highlight w:val="yellow"/>
        </w:rPr>
      </w:pPr>
      <w:r>
        <w:rPr>
          <w:rFonts w:asciiTheme="minorEastAsia" w:hAnsiTheme="minorEastAsia" w:eastAsiaTheme="minorEastAsia"/>
          <w:b/>
          <w:kern w:val="0"/>
          <w:sz w:val="24"/>
        </w:rPr>
        <w:t>本科人才培养目标定位</w:t>
      </w:r>
      <w:r>
        <w:rPr>
          <w:rFonts w:asciiTheme="minorEastAsia" w:hAnsiTheme="minorEastAsia" w:eastAsiaTheme="minorEastAsia"/>
          <w:kern w:val="0"/>
          <w:sz w:val="24"/>
        </w:rPr>
        <w:t>：</w:t>
      </w:r>
      <w:r>
        <w:rPr>
          <w:rFonts w:asciiTheme="minorEastAsia" w:hAnsiTheme="minorEastAsia" w:eastAsiaTheme="minorEastAsia"/>
          <w:color w:val="000000" w:themeColor="text1"/>
          <w:kern w:val="0"/>
          <w:sz w:val="24"/>
          <w:highlight w:val="none"/>
        </w:rPr>
        <w:t>以习近平新时代中国特色社会主义思想为指导，</w:t>
      </w:r>
      <w:r>
        <w:rPr>
          <w:rFonts w:hint="eastAsia" w:asciiTheme="minorEastAsia" w:hAnsiTheme="minorEastAsia" w:eastAsiaTheme="minorEastAsia"/>
          <w:color w:val="000000" w:themeColor="text1"/>
          <w:kern w:val="0"/>
          <w:sz w:val="24"/>
          <w:highlight w:val="none"/>
        </w:rPr>
        <w:t>以建设赤峰大学为奋斗目标，以建设具有鲜明地方和民族特色的应用型综合大学为办学定位，</w:t>
      </w:r>
      <w:r>
        <w:rPr>
          <w:rFonts w:asciiTheme="minorEastAsia" w:hAnsiTheme="minorEastAsia" w:eastAsiaTheme="minorEastAsia"/>
          <w:color w:val="000000" w:themeColor="text1"/>
          <w:kern w:val="0"/>
          <w:sz w:val="24"/>
          <w:highlight w:val="none"/>
        </w:rPr>
        <w:t>以立德树人为根本任务，培养德智体美</w:t>
      </w:r>
      <w:r>
        <w:rPr>
          <w:rFonts w:hint="eastAsia" w:asciiTheme="minorEastAsia" w:hAnsiTheme="minorEastAsia" w:eastAsiaTheme="minorEastAsia"/>
          <w:color w:val="000000" w:themeColor="text1"/>
          <w:kern w:val="0"/>
          <w:sz w:val="24"/>
          <w:highlight w:val="none"/>
        </w:rPr>
        <w:t>劳</w:t>
      </w:r>
      <w:r>
        <w:rPr>
          <w:rFonts w:asciiTheme="minorEastAsia" w:hAnsiTheme="minorEastAsia" w:eastAsiaTheme="minorEastAsia"/>
          <w:color w:val="000000" w:themeColor="text1"/>
          <w:kern w:val="0"/>
          <w:sz w:val="24"/>
          <w:highlight w:val="none"/>
        </w:rPr>
        <w:t>全面发展，具有社会责任感、创新精神、实践能力和法律意识，能够满足区域经济社会发展需要的应用型人才。</w:t>
      </w:r>
    </w:p>
    <w:p>
      <w:pPr>
        <w:spacing w:line="400" w:lineRule="exact"/>
        <w:ind w:firstLine="482" w:firstLineChars="200"/>
        <w:rPr>
          <w:rFonts w:asciiTheme="minorEastAsia" w:hAnsiTheme="minorEastAsia" w:eastAsiaTheme="minorEastAsia"/>
          <w:kern w:val="0"/>
          <w:sz w:val="24"/>
        </w:rPr>
      </w:pPr>
      <w:r>
        <w:rPr>
          <w:rFonts w:asciiTheme="minorEastAsia" w:hAnsiTheme="minorEastAsia" w:eastAsiaTheme="minorEastAsia"/>
          <w:b/>
          <w:kern w:val="0"/>
          <w:sz w:val="24"/>
        </w:rPr>
        <w:t>发展目标定位</w:t>
      </w:r>
      <w:r>
        <w:rPr>
          <w:rFonts w:asciiTheme="minorEastAsia" w:hAnsiTheme="minorEastAsia" w:eastAsiaTheme="minorEastAsia"/>
          <w:kern w:val="0"/>
          <w:sz w:val="24"/>
        </w:rPr>
        <w:t>：把学校建设成内蒙古中东部地区重要的人才培养高地和科技文化创新与服务基地，建设成具有鲜明地方和民族特色的应用型综合大学，使学校的综合实力和人才培养质量在全国同类院校中位居前列。</w:t>
      </w:r>
    </w:p>
    <w:p>
      <w:pPr>
        <w:spacing w:line="400" w:lineRule="exact"/>
        <w:ind w:firstLine="482" w:firstLineChars="200"/>
        <w:rPr>
          <w:rFonts w:asciiTheme="minorEastAsia" w:hAnsiTheme="minorEastAsia" w:eastAsiaTheme="minorEastAsia"/>
          <w:kern w:val="0"/>
          <w:sz w:val="24"/>
        </w:rPr>
      </w:pPr>
      <w:r>
        <w:rPr>
          <w:rFonts w:hint="eastAsia" w:asciiTheme="minorEastAsia" w:hAnsiTheme="minorEastAsia" w:eastAsiaTheme="minorEastAsia"/>
          <w:b/>
          <w:kern w:val="0"/>
          <w:sz w:val="24"/>
        </w:rPr>
        <w:t>学科专业定位</w:t>
      </w:r>
      <w:r>
        <w:rPr>
          <w:rFonts w:hint="eastAsia" w:asciiTheme="minorEastAsia" w:hAnsiTheme="minorEastAsia" w:eastAsiaTheme="minorEastAsia"/>
          <w:kern w:val="0"/>
          <w:sz w:val="24"/>
        </w:rPr>
        <w:t>：巩固基础学科专业，打造优势特色学科专业，积极发展应用性学科专业和新兴交叉学科专业。围绕学校相关主体专业，重点打造教师教育类、医药卫生类、经济管理类、工程技术类及文化艺术类等专业集群。</w:t>
      </w:r>
    </w:p>
    <w:p>
      <w:pPr>
        <w:numPr>
          <w:ilvl w:val="0"/>
          <w:numId w:val="2"/>
        </w:numPr>
        <w:jc w:val="left"/>
        <w:rPr>
          <w:rFonts w:ascii="Times New Roman" w:hAnsi="Times New Roman" w:eastAsia="黑体"/>
          <w:kern w:val="0"/>
          <w:sz w:val="28"/>
          <w:szCs w:val="28"/>
        </w:rPr>
      </w:pPr>
      <w:r>
        <w:rPr>
          <w:rFonts w:ascii="Times New Roman" w:hAnsi="黑体" w:eastAsia="黑体"/>
          <w:kern w:val="0"/>
          <w:sz w:val="28"/>
          <w:szCs w:val="28"/>
        </w:rPr>
        <w:t>本科专业设置</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学校现有本科专业5</w:t>
      </w:r>
      <w:r>
        <w:rPr>
          <w:rFonts w:hint="eastAsia" w:asciiTheme="minorEastAsia" w:hAnsiTheme="minorEastAsia" w:eastAsiaTheme="minorEastAsia"/>
          <w:kern w:val="0"/>
          <w:sz w:val="24"/>
        </w:rPr>
        <w:t>8</w:t>
      </w:r>
      <w:r>
        <w:rPr>
          <w:rFonts w:asciiTheme="minorEastAsia" w:hAnsiTheme="minorEastAsia" w:eastAsiaTheme="minorEastAsia"/>
          <w:kern w:val="0"/>
          <w:sz w:val="24"/>
        </w:rPr>
        <w:t>个，涵盖经济学、法学、教育学、文学、历史学、理学、工学、农学、医学、管理学、艺术学等11个学科门类</w:t>
      </w:r>
      <w:r>
        <w:rPr>
          <w:rFonts w:hint="eastAsia" w:asciiTheme="minorEastAsia" w:hAnsiTheme="minorEastAsia" w:eastAsiaTheme="minorEastAsia"/>
          <w:kern w:val="0"/>
          <w:sz w:val="24"/>
        </w:rPr>
        <w:t>，</w:t>
      </w:r>
      <w:r>
        <w:rPr>
          <w:rFonts w:asciiTheme="minorEastAsia" w:hAnsiTheme="minorEastAsia" w:eastAsiaTheme="minorEastAsia"/>
          <w:kern w:val="0"/>
          <w:sz w:val="24"/>
        </w:rPr>
        <w:t>其中包括蒙语授课专业1</w:t>
      </w:r>
      <w:r>
        <w:rPr>
          <w:rFonts w:hint="eastAsia" w:asciiTheme="minorEastAsia" w:hAnsiTheme="minorEastAsia" w:eastAsiaTheme="minorEastAsia"/>
          <w:kern w:val="0"/>
          <w:sz w:val="24"/>
        </w:rPr>
        <w:t>5</w:t>
      </w:r>
      <w:r>
        <w:rPr>
          <w:rFonts w:asciiTheme="minorEastAsia" w:hAnsiTheme="minorEastAsia" w:eastAsiaTheme="minorEastAsia"/>
          <w:kern w:val="0"/>
          <w:sz w:val="24"/>
        </w:rPr>
        <w:t>个。201</w:t>
      </w:r>
      <w:r>
        <w:rPr>
          <w:rFonts w:hint="eastAsia" w:asciiTheme="minorEastAsia" w:hAnsiTheme="minorEastAsia" w:eastAsiaTheme="minorEastAsia"/>
          <w:kern w:val="0"/>
          <w:sz w:val="24"/>
        </w:rPr>
        <w:t>9</w:t>
      </w:r>
      <w:r>
        <w:rPr>
          <w:rFonts w:asciiTheme="minorEastAsia" w:hAnsiTheme="minorEastAsia" w:eastAsiaTheme="minorEastAsia"/>
          <w:kern w:val="0"/>
          <w:sz w:val="24"/>
        </w:rPr>
        <w:t>年新增</w:t>
      </w:r>
      <w:r>
        <w:rPr>
          <w:rFonts w:hint="eastAsia" w:asciiTheme="minorEastAsia" w:hAnsiTheme="minorEastAsia" w:eastAsiaTheme="minorEastAsia"/>
          <w:kern w:val="0"/>
          <w:sz w:val="24"/>
        </w:rPr>
        <w:t>环境设计、机械设计制造及其自动化</w:t>
      </w:r>
      <w:r>
        <w:rPr>
          <w:rFonts w:asciiTheme="minorEastAsia" w:hAnsiTheme="minorEastAsia" w:eastAsiaTheme="minorEastAsia"/>
          <w:kern w:val="0"/>
          <w:sz w:val="24"/>
        </w:rPr>
        <w:t>和</w:t>
      </w:r>
      <w:r>
        <w:rPr>
          <w:rFonts w:hint="eastAsia" w:asciiTheme="minorEastAsia" w:hAnsiTheme="minorEastAsia" w:eastAsiaTheme="minorEastAsia"/>
          <w:kern w:val="0"/>
          <w:sz w:val="24"/>
        </w:rPr>
        <w:t>物联网工程3</w:t>
      </w:r>
      <w:r>
        <w:rPr>
          <w:rFonts w:asciiTheme="minorEastAsia" w:hAnsiTheme="minorEastAsia" w:eastAsiaTheme="minorEastAsia"/>
          <w:kern w:val="0"/>
          <w:sz w:val="24"/>
        </w:rPr>
        <w:t>个本科专业，停招了</w:t>
      </w:r>
      <w:r>
        <w:rPr>
          <w:rFonts w:hint="eastAsia" w:asciiTheme="minorEastAsia" w:hAnsiTheme="minorEastAsia" w:eastAsiaTheme="minorEastAsia"/>
          <w:kern w:val="0"/>
          <w:sz w:val="24"/>
        </w:rPr>
        <w:t>教育技术学、应用心理学、戏剧影视文学、应用化学、电子信息工程5个专业</w:t>
      </w:r>
      <w:r>
        <w:rPr>
          <w:rFonts w:asciiTheme="minorEastAsia" w:hAnsiTheme="minorEastAsia" w:eastAsiaTheme="minorEastAsia"/>
          <w:kern w:val="0"/>
          <w:sz w:val="24"/>
        </w:rPr>
        <w:t>。</w:t>
      </w:r>
    </w:p>
    <w:p>
      <w:pPr>
        <w:numPr>
          <w:ilvl w:val="0"/>
          <w:numId w:val="2"/>
        </w:numPr>
        <w:jc w:val="left"/>
        <w:rPr>
          <w:rFonts w:ascii="Times New Roman" w:hAnsi="Times New Roman" w:eastAsia="黑体"/>
          <w:kern w:val="0"/>
          <w:sz w:val="28"/>
          <w:szCs w:val="28"/>
        </w:rPr>
      </w:pPr>
      <w:r>
        <w:rPr>
          <w:rFonts w:ascii="Times New Roman" w:hAnsi="黑体" w:eastAsia="黑体"/>
          <w:kern w:val="0"/>
          <w:sz w:val="28"/>
          <w:szCs w:val="28"/>
        </w:rPr>
        <w:t>全日制在校生</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201</w:t>
      </w:r>
      <w:r>
        <w:rPr>
          <w:rFonts w:hint="eastAsia" w:asciiTheme="minorEastAsia" w:hAnsiTheme="minorEastAsia" w:eastAsiaTheme="minorEastAsia"/>
          <w:kern w:val="0"/>
          <w:sz w:val="24"/>
          <w:lang w:val="en-US" w:eastAsia="zh-CN"/>
        </w:rPr>
        <w:t>9</w:t>
      </w:r>
      <w:r>
        <w:rPr>
          <w:rFonts w:asciiTheme="minorEastAsia" w:hAnsiTheme="minorEastAsia" w:eastAsiaTheme="minorEastAsia"/>
          <w:kern w:val="0"/>
          <w:sz w:val="24"/>
        </w:rPr>
        <w:t>-20</w:t>
      </w:r>
      <w:r>
        <w:rPr>
          <w:rFonts w:hint="eastAsia" w:asciiTheme="minorEastAsia" w:hAnsiTheme="minorEastAsia" w:eastAsiaTheme="minorEastAsia"/>
          <w:kern w:val="0"/>
          <w:sz w:val="24"/>
          <w:lang w:val="en-US" w:eastAsia="zh-CN"/>
        </w:rPr>
        <w:t>20</w:t>
      </w:r>
      <w:r>
        <w:rPr>
          <w:rFonts w:asciiTheme="minorEastAsia" w:hAnsiTheme="minorEastAsia" w:eastAsiaTheme="minorEastAsia"/>
          <w:kern w:val="0"/>
          <w:sz w:val="24"/>
        </w:rPr>
        <w:t>学年，学校共有全日制在校生</w:t>
      </w:r>
      <w:r>
        <w:rPr>
          <w:rFonts w:hint="eastAsia" w:asciiTheme="minorEastAsia" w:hAnsiTheme="minorEastAsia" w:eastAsiaTheme="minorEastAsia"/>
          <w:kern w:val="0"/>
          <w:sz w:val="24"/>
        </w:rPr>
        <w:t>13565</w:t>
      </w:r>
      <w:r>
        <w:rPr>
          <w:rFonts w:asciiTheme="minorEastAsia" w:hAnsiTheme="minorEastAsia" w:eastAsiaTheme="minorEastAsia"/>
          <w:kern w:val="0"/>
          <w:sz w:val="24"/>
        </w:rPr>
        <w:t>人，其中本科生</w:t>
      </w:r>
      <w:r>
        <w:rPr>
          <w:rFonts w:hint="eastAsia" w:asciiTheme="minorEastAsia" w:hAnsiTheme="minorEastAsia" w:eastAsiaTheme="minorEastAsia"/>
          <w:kern w:val="0"/>
          <w:sz w:val="24"/>
        </w:rPr>
        <w:t>12569</w:t>
      </w:r>
      <w:r>
        <w:rPr>
          <w:rFonts w:asciiTheme="minorEastAsia" w:hAnsiTheme="minorEastAsia" w:eastAsiaTheme="minorEastAsia"/>
          <w:kern w:val="0"/>
          <w:sz w:val="24"/>
        </w:rPr>
        <w:t>人，专科生</w:t>
      </w:r>
      <w:r>
        <w:rPr>
          <w:rFonts w:hint="eastAsia" w:asciiTheme="minorEastAsia" w:hAnsiTheme="minorEastAsia" w:eastAsiaTheme="minorEastAsia"/>
          <w:kern w:val="0"/>
          <w:sz w:val="24"/>
        </w:rPr>
        <w:t>817</w:t>
      </w:r>
      <w:r>
        <w:rPr>
          <w:rFonts w:asciiTheme="minorEastAsia" w:hAnsiTheme="minorEastAsia" w:eastAsiaTheme="minorEastAsia"/>
          <w:kern w:val="0"/>
          <w:sz w:val="24"/>
        </w:rPr>
        <w:t>人，硕士研究生</w:t>
      </w:r>
      <w:r>
        <w:rPr>
          <w:rFonts w:hint="eastAsia" w:asciiTheme="minorEastAsia" w:hAnsiTheme="minorEastAsia" w:eastAsiaTheme="minorEastAsia"/>
          <w:kern w:val="0"/>
          <w:sz w:val="24"/>
        </w:rPr>
        <w:t>179</w:t>
      </w:r>
      <w:r>
        <w:rPr>
          <w:rFonts w:asciiTheme="minorEastAsia" w:hAnsiTheme="minorEastAsia" w:eastAsiaTheme="minorEastAsia"/>
          <w:kern w:val="0"/>
          <w:sz w:val="24"/>
        </w:rPr>
        <w:t>人。本科生占全日制在校生比例为</w:t>
      </w:r>
      <w:r>
        <w:rPr>
          <w:rFonts w:hint="eastAsia" w:asciiTheme="minorEastAsia" w:hAnsiTheme="minorEastAsia" w:eastAsiaTheme="minorEastAsia"/>
          <w:kern w:val="0"/>
          <w:sz w:val="24"/>
        </w:rPr>
        <w:t>92.66%</w:t>
      </w:r>
      <w:r>
        <w:rPr>
          <w:rFonts w:asciiTheme="minorEastAsia" w:hAnsiTheme="minorEastAsia" w:eastAsiaTheme="minorEastAsia"/>
          <w:kern w:val="0"/>
          <w:sz w:val="24"/>
        </w:rPr>
        <w:t>。</w:t>
      </w:r>
    </w:p>
    <w:p>
      <w:pPr>
        <w:numPr>
          <w:ilvl w:val="0"/>
          <w:numId w:val="2"/>
        </w:numPr>
        <w:jc w:val="left"/>
        <w:rPr>
          <w:rFonts w:ascii="Times New Roman" w:hAnsi="Times New Roman" w:eastAsia="黑体"/>
          <w:kern w:val="0"/>
          <w:sz w:val="28"/>
          <w:szCs w:val="28"/>
        </w:rPr>
      </w:pPr>
      <w:r>
        <w:rPr>
          <w:rFonts w:ascii="Times New Roman" w:hAnsi="黑体" w:eastAsia="黑体"/>
          <w:kern w:val="0"/>
          <w:sz w:val="28"/>
          <w:szCs w:val="28"/>
        </w:rPr>
        <w:t>本科生源质量</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学校面向全国2</w:t>
      </w:r>
      <w:r>
        <w:rPr>
          <w:rFonts w:hint="eastAsia" w:asciiTheme="minorEastAsia" w:hAnsiTheme="minorEastAsia" w:eastAsiaTheme="minorEastAsia"/>
          <w:kern w:val="0"/>
          <w:sz w:val="24"/>
        </w:rPr>
        <w:t>1</w:t>
      </w:r>
      <w:r>
        <w:rPr>
          <w:rFonts w:asciiTheme="minorEastAsia" w:hAnsiTheme="minorEastAsia" w:eastAsiaTheme="minorEastAsia"/>
          <w:kern w:val="0"/>
          <w:sz w:val="24"/>
        </w:rPr>
        <w:t>个省（市、自治区）招生，</w:t>
      </w:r>
      <w:r>
        <w:rPr>
          <w:rFonts w:hint="eastAsia" w:asciiTheme="minorEastAsia" w:hAnsiTheme="minorEastAsia" w:eastAsiaTheme="minorEastAsia"/>
          <w:kern w:val="0"/>
          <w:sz w:val="24"/>
          <w:lang w:val="en-US" w:eastAsia="zh-CN"/>
        </w:rPr>
        <w:t>年度</w:t>
      </w:r>
      <w:r>
        <w:rPr>
          <w:rFonts w:asciiTheme="minorEastAsia" w:hAnsiTheme="minorEastAsia" w:eastAsiaTheme="minorEastAsia"/>
          <w:kern w:val="0"/>
          <w:sz w:val="24"/>
        </w:rPr>
        <w:t>招生规模稳定在3000人左右。</w:t>
      </w:r>
      <w:r>
        <w:rPr>
          <w:rFonts w:hint="eastAsia" w:asciiTheme="minorEastAsia" w:hAnsiTheme="minorEastAsia" w:eastAsiaTheme="minorEastAsia"/>
          <w:kern w:val="0"/>
          <w:sz w:val="24"/>
        </w:rPr>
        <w:t>2019</w:t>
      </w:r>
      <w:r>
        <w:rPr>
          <w:rFonts w:asciiTheme="minorEastAsia" w:hAnsiTheme="minorEastAsia" w:eastAsiaTheme="minorEastAsia"/>
          <w:kern w:val="0"/>
          <w:sz w:val="24"/>
        </w:rPr>
        <w:t>年区内生源占9</w:t>
      </w:r>
      <w:r>
        <w:rPr>
          <w:rFonts w:hint="eastAsia" w:asciiTheme="minorEastAsia" w:hAnsiTheme="minorEastAsia" w:eastAsiaTheme="minorEastAsia"/>
          <w:kern w:val="0"/>
          <w:sz w:val="24"/>
        </w:rPr>
        <w:t>0.73</w:t>
      </w:r>
      <w:r>
        <w:rPr>
          <w:rFonts w:asciiTheme="minorEastAsia" w:hAnsiTheme="minorEastAsia" w:eastAsiaTheme="minorEastAsia"/>
          <w:kern w:val="0"/>
          <w:sz w:val="24"/>
        </w:rPr>
        <w:t>%，区外生源占</w:t>
      </w:r>
      <w:r>
        <w:rPr>
          <w:rFonts w:hint="eastAsia" w:asciiTheme="minorEastAsia" w:hAnsiTheme="minorEastAsia" w:eastAsiaTheme="minorEastAsia"/>
          <w:kern w:val="0"/>
          <w:sz w:val="24"/>
        </w:rPr>
        <w:t>9.27</w:t>
      </w:r>
      <w:r>
        <w:rPr>
          <w:rFonts w:asciiTheme="minorEastAsia" w:hAnsiTheme="minorEastAsia" w:eastAsiaTheme="minorEastAsia"/>
          <w:kern w:val="0"/>
          <w:sz w:val="24"/>
        </w:rPr>
        <w:t>%</w:t>
      </w:r>
      <w:r>
        <w:rPr>
          <w:rFonts w:hint="eastAsia" w:asciiTheme="minorEastAsia" w:hAnsiTheme="minorEastAsia" w:eastAsiaTheme="minorEastAsia"/>
          <w:kern w:val="0"/>
          <w:sz w:val="24"/>
        </w:rPr>
        <w:t>，</w:t>
      </w:r>
      <w:r>
        <w:rPr>
          <w:rFonts w:asciiTheme="minorEastAsia" w:hAnsiTheme="minorEastAsia" w:eastAsiaTheme="minorEastAsia"/>
          <w:kern w:val="0"/>
          <w:sz w:val="24"/>
        </w:rPr>
        <w:t>其中</w:t>
      </w:r>
      <w:r>
        <w:rPr>
          <w:rFonts w:hint="eastAsia" w:asciiTheme="minorEastAsia" w:hAnsiTheme="minorEastAsia" w:eastAsiaTheme="minorEastAsia"/>
          <w:kern w:val="0"/>
          <w:sz w:val="24"/>
        </w:rPr>
        <w:t>蒙语授课本科</w:t>
      </w:r>
      <w:r>
        <w:rPr>
          <w:rFonts w:asciiTheme="minorEastAsia" w:hAnsiTheme="minorEastAsia" w:eastAsiaTheme="minorEastAsia"/>
          <w:kern w:val="0"/>
          <w:sz w:val="24"/>
        </w:rPr>
        <w:t>生人数占</w:t>
      </w:r>
      <w:r>
        <w:rPr>
          <w:rFonts w:hint="eastAsia" w:asciiTheme="minorEastAsia" w:hAnsiTheme="minorEastAsia" w:eastAsiaTheme="minorEastAsia"/>
          <w:kern w:val="0"/>
          <w:sz w:val="24"/>
        </w:rPr>
        <w:t>7.36</w:t>
      </w:r>
      <w:r>
        <w:rPr>
          <w:rFonts w:asciiTheme="minorEastAsia" w:hAnsiTheme="minorEastAsia" w:eastAsiaTheme="minorEastAsia"/>
          <w:kern w:val="0"/>
          <w:sz w:val="24"/>
        </w:rPr>
        <w:t>%。在区内录取普通文科、普通理科、蒙授文科和蒙授理科二批次平均分高出自治区相应二批次控制线分别为</w:t>
      </w:r>
      <w:r>
        <w:rPr>
          <w:rFonts w:hint="eastAsia" w:asciiTheme="minorEastAsia" w:hAnsiTheme="minorEastAsia" w:eastAsiaTheme="minorEastAsia"/>
          <w:kern w:val="0"/>
          <w:sz w:val="24"/>
        </w:rPr>
        <w:t>49.30</w:t>
      </w:r>
      <w:r>
        <w:rPr>
          <w:rFonts w:asciiTheme="minorEastAsia" w:hAnsiTheme="minorEastAsia" w:eastAsiaTheme="minorEastAsia"/>
          <w:kern w:val="0"/>
          <w:sz w:val="24"/>
        </w:rPr>
        <w:t>分</w:t>
      </w:r>
      <w:r>
        <w:rPr>
          <w:rFonts w:hint="eastAsia" w:asciiTheme="minorEastAsia" w:hAnsiTheme="minorEastAsia" w:eastAsiaTheme="minorEastAsia"/>
          <w:kern w:val="0"/>
          <w:sz w:val="24"/>
        </w:rPr>
        <w:t>、62.93</w:t>
      </w:r>
      <w:r>
        <w:rPr>
          <w:rFonts w:asciiTheme="minorEastAsia" w:hAnsiTheme="minorEastAsia" w:eastAsiaTheme="minorEastAsia"/>
          <w:kern w:val="0"/>
          <w:sz w:val="24"/>
        </w:rPr>
        <w:t>分、4</w:t>
      </w:r>
      <w:r>
        <w:rPr>
          <w:rFonts w:hint="eastAsia" w:asciiTheme="minorEastAsia" w:hAnsiTheme="minorEastAsia" w:eastAsiaTheme="minorEastAsia"/>
          <w:kern w:val="0"/>
          <w:sz w:val="24"/>
        </w:rPr>
        <w:t>1.63</w:t>
      </w:r>
      <w:r>
        <w:rPr>
          <w:rFonts w:asciiTheme="minorEastAsia" w:hAnsiTheme="minorEastAsia" w:eastAsiaTheme="minorEastAsia"/>
          <w:kern w:val="0"/>
          <w:sz w:val="24"/>
        </w:rPr>
        <w:t>分和</w:t>
      </w:r>
      <w:r>
        <w:rPr>
          <w:rFonts w:hint="eastAsia" w:asciiTheme="minorEastAsia" w:hAnsiTheme="minorEastAsia" w:eastAsiaTheme="minorEastAsia"/>
          <w:kern w:val="0"/>
          <w:sz w:val="24"/>
        </w:rPr>
        <w:t>37.61</w:t>
      </w:r>
      <w:r>
        <w:rPr>
          <w:rFonts w:asciiTheme="minorEastAsia" w:hAnsiTheme="minorEastAsia" w:eastAsiaTheme="minorEastAsia"/>
          <w:kern w:val="0"/>
          <w:sz w:val="24"/>
        </w:rPr>
        <w:t>分。自2015年建筑环境与设备工程专业实现了本科第一批次招生后，2018年</w:t>
      </w:r>
      <w:r>
        <w:rPr>
          <w:rFonts w:hint="eastAsia" w:asciiTheme="minorEastAsia" w:hAnsiTheme="minorEastAsia" w:eastAsiaTheme="minorEastAsia"/>
          <w:kern w:val="0"/>
          <w:sz w:val="24"/>
        </w:rPr>
        <w:t>口腔医学、临床医学、护理学、药学、医学检验技术、蒙医学5</w:t>
      </w:r>
      <w:r>
        <w:rPr>
          <w:rFonts w:asciiTheme="minorEastAsia" w:hAnsiTheme="minorEastAsia" w:eastAsiaTheme="minorEastAsia"/>
          <w:kern w:val="0"/>
          <w:sz w:val="24"/>
        </w:rPr>
        <w:t>个专业实现了本科第一批次招生</w:t>
      </w:r>
      <w:r>
        <w:rPr>
          <w:rFonts w:hint="eastAsia" w:asciiTheme="minorEastAsia" w:hAnsiTheme="minorEastAsia" w:eastAsiaTheme="minorEastAsia"/>
          <w:kern w:val="0"/>
          <w:sz w:val="24"/>
        </w:rPr>
        <w:t>，2019年护理学及护理学（ISEC）、医学检验技术、药学4个专业</w:t>
      </w:r>
      <w:r>
        <w:rPr>
          <w:rFonts w:asciiTheme="minorEastAsia" w:hAnsiTheme="minorEastAsia" w:eastAsiaTheme="minorEastAsia"/>
          <w:kern w:val="0"/>
          <w:sz w:val="24"/>
        </w:rPr>
        <w:t>也实现了本科第一批次招生。本年度学校第一志愿录取率为9</w:t>
      </w:r>
      <w:r>
        <w:rPr>
          <w:rFonts w:hint="eastAsia" w:asciiTheme="minorEastAsia" w:hAnsiTheme="minorEastAsia" w:eastAsiaTheme="minorEastAsia"/>
          <w:kern w:val="0"/>
          <w:sz w:val="24"/>
        </w:rPr>
        <w:t>1.23</w:t>
      </w:r>
      <w:r>
        <w:rPr>
          <w:rFonts w:asciiTheme="minorEastAsia" w:hAnsiTheme="minorEastAsia" w:eastAsiaTheme="minorEastAsia"/>
          <w:kern w:val="0"/>
          <w:sz w:val="24"/>
        </w:rPr>
        <w:t>%，报到率为98.</w:t>
      </w:r>
      <w:r>
        <w:rPr>
          <w:rFonts w:hint="eastAsia" w:asciiTheme="minorEastAsia" w:hAnsiTheme="minorEastAsia" w:eastAsiaTheme="minorEastAsia"/>
          <w:kern w:val="0"/>
          <w:sz w:val="24"/>
        </w:rPr>
        <w:t>46</w:t>
      </w:r>
      <w:r>
        <w:rPr>
          <w:rFonts w:asciiTheme="minorEastAsia" w:hAnsiTheme="minorEastAsia" w:eastAsiaTheme="minorEastAsia"/>
          <w:kern w:val="0"/>
          <w:sz w:val="24"/>
        </w:rPr>
        <w:t>%。</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学校注重构建以产教融合为新常态的合作育人模式</w:t>
      </w:r>
      <w:r>
        <w:rPr>
          <w:rFonts w:hint="eastAsia" w:asciiTheme="minorEastAsia" w:hAnsiTheme="minorEastAsia" w:eastAsiaTheme="minorEastAsia"/>
          <w:kern w:val="0"/>
          <w:sz w:val="24"/>
        </w:rPr>
        <w:t>，</w:t>
      </w:r>
      <w:r>
        <w:rPr>
          <w:rFonts w:asciiTheme="minorEastAsia" w:hAnsiTheme="minorEastAsia" w:eastAsiaTheme="minorEastAsia"/>
          <w:kern w:val="0"/>
          <w:sz w:val="24"/>
        </w:rPr>
        <w:t>按着“招生－人才培养－就业创业”联动机制，不断调整学科专业结构，吸引优质生源</w:t>
      </w:r>
      <w:r>
        <w:rPr>
          <w:rFonts w:hint="eastAsia" w:asciiTheme="minorEastAsia" w:hAnsiTheme="minorEastAsia" w:eastAsiaTheme="minorEastAsia"/>
          <w:kern w:val="0"/>
          <w:sz w:val="24"/>
        </w:rPr>
        <w:t>，</w:t>
      </w:r>
      <w:r>
        <w:rPr>
          <w:rFonts w:asciiTheme="minorEastAsia" w:hAnsiTheme="minorEastAsia" w:eastAsiaTheme="minorEastAsia"/>
          <w:kern w:val="0"/>
          <w:sz w:val="24"/>
        </w:rPr>
        <w:t>总体生源结构趋于合理，生源质量稳中有升。</w:t>
      </w:r>
    </w:p>
    <w:p>
      <w:pPr>
        <w:numPr>
          <w:ilvl w:val="0"/>
          <w:numId w:val="1"/>
        </w:numPr>
        <w:ind w:firstLine="600" w:firstLineChars="200"/>
        <w:jc w:val="left"/>
        <w:rPr>
          <w:rFonts w:ascii="Times New Roman" w:hAnsi="Times New Roman" w:eastAsia="黑体"/>
          <w:kern w:val="0"/>
          <w:sz w:val="30"/>
          <w:szCs w:val="30"/>
        </w:rPr>
      </w:pPr>
      <w:bookmarkStart w:id="0" w:name="_Hlk529175676"/>
      <w:r>
        <w:rPr>
          <w:rFonts w:ascii="Times New Roman" w:hAnsi="黑体" w:eastAsia="黑体"/>
          <w:kern w:val="0"/>
          <w:sz w:val="30"/>
          <w:szCs w:val="30"/>
        </w:rPr>
        <w:t>师资队伍与教学条件</w:t>
      </w:r>
    </w:p>
    <w:p>
      <w:pPr>
        <w:numPr>
          <w:ilvl w:val="0"/>
          <w:numId w:val="3"/>
        </w:numPr>
        <w:ind w:left="508" w:leftChars="242"/>
        <w:jc w:val="left"/>
        <w:rPr>
          <w:rFonts w:ascii="Times New Roman" w:hAnsi="Times New Roman" w:eastAsia="黑体"/>
          <w:kern w:val="0"/>
          <w:sz w:val="28"/>
          <w:szCs w:val="28"/>
        </w:rPr>
      </w:pPr>
      <w:r>
        <w:rPr>
          <w:rFonts w:ascii="Times New Roman" w:hAnsi="黑体" w:eastAsia="黑体"/>
          <w:kern w:val="0"/>
          <w:sz w:val="28"/>
          <w:szCs w:val="28"/>
        </w:rPr>
        <w:t>师资队伍数量与结构</w:t>
      </w:r>
    </w:p>
    <w:p>
      <w:pPr>
        <w:ind w:firstLine="480" w:firstLineChars="200"/>
        <w:jc w:val="left"/>
        <w:rPr>
          <w:rFonts w:ascii="黑体" w:hAnsi="黑体" w:eastAsia="黑体"/>
          <w:kern w:val="0"/>
          <w:sz w:val="24"/>
        </w:rPr>
      </w:pPr>
      <w:r>
        <w:rPr>
          <w:rFonts w:ascii="黑体" w:hAnsi="黑体" w:eastAsia="黑体"/>
          <w:kern w:val="0"/>
          <w:sz w:val="24"/>
        </w:rPr>
        <w:t>1.师资队伍基本情况</w:t>
      </w:r>
    </w:p>
    <w:bookmarkEnd w:id="0"/>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现有专任教师1036人，其中35岁以下172名，占比为16.60%，36～45岁教师400人，占比为38.61%；正高级职称128人，占比为12.36%；副高职称362人，占比为34.94%；博士学位210人，占比为20.27%，硕士学位492人，占比为47.49%；“双师型”教师213人，占比为20.56%。学校现有享受国务院政府特殊津贴教师4人，自治区五一劳动奖章1人，自治区“有突出贡献中青年专家”3人，自治区“321”人才工程第一、二层次人选8人，国家级优秀教师1人，自治区“草原英才”工程人选8人，“草原英才”团队4个，自治区级教学团队7个，自治区级教学名师11人，自治区教坛新秀8人。</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学校遵循“引进与培养并举”的方针，加强高学历教师和“双师型”教师引进与培养</w:t>
      </w:r>
      <w:r>
        <w:rPr>
          <w:rFonts w:hint="eastAsia" w:asciiTheme="minorEastAsia" w:hAnsiTheme="minorEastAsia" w:eastAsiaTheme="minorEastAsia"/>
          <w:kern w:val="0"/>
          <w:sz w:val="24"/>
          <w:lang w:val="en-US" w:eastAsia="zh-CN"/>
        </w:rPr>
        <w:t>工作</w:t>
      </w:r>
      <w:r>
        <w:rPr>
          <w:rFonts w:hint="eastAsia" w:asciiTheme="minorEastAsia" w:hAnsiTheme="minorEastAsia" w:eastAsiaTheme="minorEastAsia"/>
          <w:kern w:val="0"/>
          <w:sz w:val="24"/>
        </w:rPr>
        <w:t>，不断优化师资队伍结构，使师资队伍水平稳步提高。</w:t>
      </w:r>
    </w:p>
    <w:p>
      <w:pPr>
        <w:ind w:firstLine="480" w:firstLineChars="200"/>
        <w:jc w:val="left"/>
        <w:rPr>
          <w:rFonts w:ascii="黑体" w:hAnsi="黑体" w:eastAsia="黑体"/>
          <w:kern w:val="0"/>
          <w:sz w:val="24"/>
        </w:rPr>
      </w:pPr>
      <w:bookmarkStart w:id="1" w:name="_Hlk529190856"/>
      <w:r>
        <w:rPr>
          <w:rFonts w:ascii="黑体" w:hAnsi="黑体" w:eastAsia="黑体"/>
          <w:kern w:val="0"/>
          <w:sz w:val="24"/>
        </w:rPr>
        <w:t>2.生师比</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现有专任教师1036人，外聘教师为34人，折合教师总数为1053人，折合在校生总数为14516人，生师比为13.79:1。对分专业生师比统计结果显示，护理学专业生师比最高，为129.17；其次为口腔医学专业和蒙医学专业，分别为64.4和62.67；旅游管理（民族班）专业为39.54；生师比最低的学院是应用心理学专业，生师比为2.43；马克思主义学院、国际教育学院及继续教育学院因无全日制本科生，生师比为0。</w:t>
      </w:r>
    </w:p>
    <w:p>
      <w:pPr>
        <w:ind w:firstLine="480" w:firstLineChars="200"/>
        <w:jc w:val="left"/>
        <w:rPr>
          <w:rFonts w:ascii="黑体" w:hAnsi="黑体" w:eastAsia="黑体"/>
          <w:kern w:val="0"/>
          <w:sz w:val="24"/>
        </w:rPr>
      </w:pPr>
      <w:r>
        <w:rPr>
          <w:rFonts w:ascii="黑体" w:hAnsi="黑体" w:eastAsia="黑体"/>
          <w:kern w:val="0"/>
          <w:sz w:val="24"/>
        </w:rPr>
        <w:t>3.本科生主讲教师情况</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2019-2020学年，本科课程总门数为4097，开设课程总门次数为5309。教授为本科生授课课程门次数为261，占比为4.92%，教授总数128名，主讲本科课程的教授占教授总数的82.81%。</w:t>
      </w:r>
    </w:p>
    <w:p>
      <w:pPr>
        <w:ind w:firstLine="480" w:firstLineChars="200"/>
        <w:jc w:val="left"/>
        <w:rPr>
          <w:rFonts w:ascii="黑体" w:hAnsi="黑体" w:eastAsia="黑体"/>
          <w:kern w:val="0"/>
          <w:sz w:val="24"/>
        </w:rPr>
      </w:pPr>
      <w:r>
        <w:rPr>
          <w:rFonts w:ascii="黑体" w:hAnsi="黑体" w:eastAsia="黑体"/>
          <w:kern w:val="0"/>
          <w:sz w:val="24"/>
        </w:rPr>
        <w:t>4.师资队伍建设</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学校以满足人才培养需要为出发点，着力提升教师教学能力和专业水平。制定</w:t>
      </w:r>
      <w:r>
        <w:rPr>
          <w:rFonts w:hint="eastAsia" w:asciiTheme="minorEastAsia" w:hAnsiTheme="minorEastAsia" w:eastAsiaTheme="minorEastAsia"/>
          <w:kern w:val="0"/>
          <w:sz w:val="24"/>
          <w:lang w:val="en-US" w:eastAsia="zh-CN"/>
        </w:rPr>
        <w:t>和</w:t>
      </w:r>
      <w:r>
        <w:rPr>
          <w:rFonts w:asciiTheme="minorEastAsia" w:hAnsiTheme="minorEastAsia" w:eastAsiaTheme="minorEastAsia"/>
          <w:kern w:val="0"/>
          <w:sz w:val="24"/>
        </w:rPr>
        <w:t>修订了《赤峰学院关于引进博士（博士后）的实施细则</w:t>
      </w:r>
      <w:r>
        <w:rPr>
          <w:rFonts w:hint="eastAsia" w:asciiTheme="minorEastAsia" w:hAnsiTheme="minorEastAsia" w:eastAsiaTheme="minorEastAsia"/>
          <w:kern w:val="0"/>
          <w:sz w:val="24"/>
        </w:rPr>
        <w:t>（试行）</w:t>
      </w:r>
      <w:r>
        <w:rPr>
          <w:rFonts w:asciiTheme="minorEastAsia" w:hAnsiTheme="minorEastAsia" w:eastAsiaTheme="minorEastAsia"/>
          <w:kern w:val="0"/>
          <w:sz w:val="24"/>
        </w:rPr>
        <w:t>》《赤峰学院教学奖励办法》《</w:t>
      </w:r>
      <w:r>
        <w:rPr>
          <w:rFonts w:hint="eastAsia" w:asciiTheme="minorEastAsia" w:hAnsiTheme="minorEastAsia" w:eastAsiaTheme="minorEastAsia"/>
          <w:kern w:val="0"/>
          <w:sz w:val="24"/>
        </w:rPr>
        <w:t>赤峰学院“双师型”教师队伍管理办法(试行)</w:t>
      </w:r>
      <w:r>
        <w:rPr>
          <w:rFonts w:asciiTheme="minorEastAsia" w:hAnsiTheme="minorEastAsia" w:eastAsiaTheme="minorEastAsia"/>
          <w:kern w:val="0"/>
          <w:sz w:val="24"/>
        </w:rPr>
        <w:t>》《</w:t>
      </w:r>
      <w:r>
        <w:rPr>
          <w:rFonts w:hint="eastAsia" w:asciiTheme="minorEastAsia" w:hAnsiTheme="minorEastAsia" w:eastAsiaTheme="minorEastAsia"/>
          <w:kern w:val="0"/>
          <w:sz w:val="24"/>
        </w:rPr>
        <w:t>赤峰学院教师教学工作规程</w:t>
      </w:r>
      <w:r>
        <w:rPr>
          <w:rFonts w:asciiTheme="minorEastAsia" w:hAnsiTheme="minorEastAsia" w:eastAsiaTheme="minorEastAsia"/>
          <w:kern w:val="0"/>
          <w:sz w:val="24"/>
        </w:rPr>
        <w:t>》和《赤峰学院科研奖励办法》等文件。</w:t>
      </w:r>
      <w:r>
        <w:rPr>
          <w:rFonts w:hint="eastAsia" w:asciiTheme="minorEastAsia" w:hAnsiTheme="minorEastAsia" w:eastAsiaTheme="minorEastAsia"/>
          <w:kern w:val="0"/>
          <w:sz w:val="24"/>
        </w:rPr>
        <w:t>组织申报了2019年自治区级、校级质量工程项目，评选出了校级教学团队3个，校级教学名师2人，校级教坛新秀3人；评审推荐了自治区级教学团队1个，自治区级教学名师1人，自治区级教坛新秀1人。初步制定</w:t>
      </w:r>
      <w:r>
        <w:rPr>
          <w:rFonts w:hint="eastAsia" w:asciiTheme="minorEastAsia" w:hAnsiTheme="minorEastAsia" w:eastAsiaTheme="minorEastAsia"/>
          <w:kern w:val="0"/>
          <w:sz w:val="24"/>
          <w:lang w:val="en-US" w:eastAsia="zh-CN"/>
        </w:rPr>
        <w:t>了</w:t>
      </w:r>
      <w:r>
        <w:rPr>
          <w:rFonts w:hint="eastAsia" w:asciiTheme="minorEastAsia" w:hAnsiTheme="minorEastAsia" w:eastAsiaTheme="minorEastAsia"/>
          <w:kern w:val="0"/>
          <w:sz w:val="24"/>
        </w:rPr>
        <w:t>教师资格认定实施办法，进一步规范教师资格申请资格，本年度学校（含附属单位）共69名教师通过教师资格认定，获得高校教师资格。2019年选派教师参加国家留学基金委ISEC项目培训共52人次，截至目前，共有获得资质的项目教师240人。</w:t>
      </w:r>
    </w:p>
    <w:p>
      <w:pPr>
        <w:numPr>
          <w:ilvl w:val="0"/>
          <w:numId w:val="3"/>
        </w:numPr>
        <w:ind w:left="298" w:leftChars="142"/>
        <w:jc w:val="left"/>
        <w:rPr>
          <w:rFonts w:ascii="Times New Roman" w:hAnsi="Times New Roman" w:eastAsia="黑体"/>
          <w:kern w:val="0"/>
          <w:sz w:val="28"/>
          <w:szCs w:val="28"/>
        </w:rPr>
      </w:pPr>
      <w:r>
        <w:rPr>
          <w:rFonts w:ascii="Times New Roman" w:hAnsi="黑体" w:eastAsia="黑体"/>
          <w:kern w:val="0"/>
          <w:sz w:val="28"/>
          <w:szCs w:val="28"/>
        </w:rPr>
        <w:t>教学经费投入</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学校始终坚持教学经费</w:t>
      </w:r>
      <w:r>
        <w:rPr>
          <w:rFonts w:hint="eastAsia" w:asciiTheme="minorEastAsia" w:hAnsiTheme="minorEastAsia" w:eastAsiaTheme="minorEastAsia"/>
          <w:kern w:val="0"/>
          <w:sz w:val="24"/>
        </w:rPr>
        <w:t>“优先投入、合理利用”的原则</w:t>
      </w:r>
      <w:r>
        <w:rPr>
          <w:rFonts w:asciiTheme="minorEastAsia" w:hAnsiTheme="minorEastAsia" w:eastAsiaTheme="minorEastAsia"/>
          <w:kern w:val="0"/>
          <w:sz w:val="24"/>
        </w:rPr>
        <w:t>。201</w:t>
      </w:r>
      <w:r>
        <w:rPr>
          <w:rFonts w:hint="eastAsia" w:asciiTheme="minorEastAsia" w:hAnsiTheme="minorEastAsia" w:eastAsiaTheme="minorEastAsia"/>
          <w:kern w:val="0"/>
          <w:sz w:val="24"/>
        </w:rPr>
        <w:t>9-2020</w:t>
      </w:r>
      <w:r>
        <w:rPr>
          <w:rFonts w:asciiTheme="minorEastAsia" w:hAnsiTheme="minorEastAsia" w:eastAsiaTheme="minorEastAsia"/>
          <w:kern w:val="0"/>
          <w:sz w:val="24"/>
        </w:rPr>
        <w:t>年，</w:t>
      </w:r>
      <w:r>
        <w:rPr>
          <w:rFonts w:hint="eastAsia" w:asciiTheme="minorEastAsia" w:hAnsiTheme="minorEastAsia" w:eastAsiaTheme="minorEastAsia"/>
          <w:kern w:val="0"/>
          <w:sz w:val="24"/>
        </w:rPr>
        <w:t>教学日常运行支出4131.23</w:t>
      </w:r>
      <w:r>
        <w:rPr>
          <w:rFonts w:asciiTheme="minorEastAsia" w:hAnsiTheme="minorEastAsia" w:eastAsiaTheme="minorEastAsia"/>
          <w:kern w:val="0"/>
          <w:sz w:val="24"/>
        </w:rPr>
        <w:t>万元</w:t>
      </w:r>
      <w:r>
        <w:rPr>
          <w:rFonts w:hint="eastAsia" w:asciiTheme="minorEastAsia" w:hAnsiTheme="minorEastAsia" w:eastAsiaTheme="minorEastAsia"/>
          <w:kern w:val="0"/>
          <w:sz w:val="24"/>
        </w:rPr>
        <w:t>，生均本科教学日常运行支出3286.84</w:t>
      </w:r>
      <w:r>
        <w:rPr>
          <w:rFonts w:asciiTheme="minorEastAsia" w:hAnsiTheme="minorEastAsia" w:eastAsiaTheme="minorEastAsia"/>
          <w:kern w:val="0"/>
          <w:sz w:val="24"/>
        </w:rPr>
        <w:t>元</w:t>
      </w:r>
      <w:r>
        <w:rPr>
          <w:rFonts w:hint="eastAsia" w:asciiTheme="minorEastAsia" w:hAnsiTheme="minorEastAsia" w:eastAsiaTheme="minorEastAsia"/>
          <w:kern w:val="0"/>
          <w:sz w:val="24"/>
        </w:rPr>
        <w:t>；本科专项</w:t>
      </w:r>
      <w:r>
        <w:rPr>
          <w:rFonts w:asciiTheme="minorEastAsia" w:hAnsiTheme="minorEastAsia" w:eastAsiaTheme="minorEastAsia"/>
          <w:kern w:val="0"/>
          <w:sz w:val="24"/>
        </w:rPr>
        <w:t>教学经费金额为</w:t>
      </w:r>
      <w:r>
        <w:rPr>
          <w:rFonts w:hint="eastAsia" w:asciiTheme="minorEastAsia" w:hAnsiTheme="minorEastAsia" w:eastAsiaTheme="minorEastAsia"/>
          <w:kern w:val="0"/>
          <w:sz w:val="24"/>
        </w:rPr>
        <w:t>7243.36</w:t>
      </w:r>
      <w:r>
        <w:rPr>
          <w:rFonts w:asciiTheme="minorEastAsia" w:hAnsiTheme="minorEastAsia" w:eastAsiaTheme="minorEastAsia"/>
          <w:kern w:val="0"/>
          <w:sz w:val="24"/>
        </w:rPr>
        <w:t>万元，其中</w:t>
      </w:r>
      <w:r>
        <w:rPr>
          <w:rFonts w:hint="eastAsia" w:asciiTheme="minorEastAsia" w:hAnsiTheme="minorEastAsia" w:eastAsiaTheme="minorEastAsia"/>
          <w:kern w:val="0"/>
          <w:sz w:val="24"/>
        </w:rPr>
        <w:t>实践教学支出2436.72</w:t>
      </w:r>
      <w:r>
        <w:rPr>
          <w:rFonts w:asciiTheme="minorEastAsia" w:hAnsiTheme="minorEastAsia" w:eastAsiaTheme="minorEastAsia"/>
          <w:kern w:val="0"/>
          <w:sz w:val="24"/>
        </w:rPr>
        <w:t>万元</w:t>
      </w:r>
      <w:r>
        <w:rPr>
          <w:rFonts w:hint="eastAsia" w:asciiTheme="minorEastAsia" w:hAnsiTheme="minorEastAsia" w:eastAsiaTheme="minorEastAsia"/>
          <w:kern w:val="0"/>
          <w:sz w:val="24"/>
        </w:rPr>
        <w:t>，占比最大，为33.64%，其次为教师培训进修专项经费1309.01</w:t>
      </w:r>
      <w:r>
        <w:rPr>
          <w:rFonts w:asciiTheme="minorEastAsia" w:hAnsiTheme="minorEastAsia" w:eastAsiaTheme="minorEastAsia"/>
          <w:kern w:val="0"/>
          <w:sz w:val="24"/>
        </w:rPr>
        <w:t>万元</w:t>
      </w:r>
      <w:r>
        <w:rPr>
          <w:rFonts w:hint="eastAsia" w:asciiTheme="minorEastAsia" w:hAnsiTheme="minorEastAsia" w:eastAsiaTheme="minorEastAsia"/>
          <w:kern w:val="0"/>
          <w:sz w:val="24"/>
        </w:rPr>
        <w:t>，</w:t>
      </w:r>
      <w:r>
        <w:rPr>
          <w:rFonts w:asciiTheme="minorEastAsia" w:hAnsiTheme="minorEastAsia" w:eastAsiaTheme="minorEastAsia"/>
          <w:kern w:val="0"/>
          <w:sz w:val="24"/>
        </w:rPr>
        <w:t>占比为</w:t>
      </w:r>
      <w:r>
        <w:rPr>
          <w:rFonts w:hint="eastAsia" w:asciiTheme="minorEastAsia" w:hAnsiTheme="minorEastAsia" w:eastAsiaTheme="minorEastAsia"/>
          <w:kern w:val="0"/>
          <w:sz w:val="24"/>
        </w:rPr>
        <w:t>18.07%；本科实验经费625.69</w:t>
      </w:r>
      <w:r>
        <w:rPr>
          <w:rFonts w:asciiTheme="minorEastAsia" w:hAnsiTheme="minorEastAsia" w:eastAsiaTheme="minorEastAsia"/>
          <w:kern w:val="0"/>
          <w:sz w:val="24"/>
        </w:rPr>
        <w:t>万元</w:t>
      </w:r>
      <w:r>
        <w:rPr>
          <w:rFonts w:hint="eastAsia" w:asciiTheme="minorEastAsia" w:hAnsiTheme="minorEastAsia" w:eastAsiaTheme="minorEastAsia"/>
          <w:kern w:val="0"/>
          <w:sz w:val="24"/>
        </w:rPr>
        <w:t>，生均本科实验经费497.80</w:t>
      </w:r>
      <w:r>
        <w:rPr>
          <w:rFonts w:asciiTheme="minorEastAsia" w:hAnsiTheme="minorEastAsia" w:eastAsiaTheme="minorEastAsia"/>
          <w:kern w:val="0"/>
          <w:sz w:val="24"/>
        </w:rPr>
        <w:t>元</w:t>
      </w:r>
      <w:r>
        <w:rPr>
          <w:rFonts w:hint="eastAsia" w:asciiTheme="minorEastAsia" w:hAnsiTheme="minorEastAsia" w:eastAsiaTheme="minorEastAsia"/>
          <w:kern w:val="0"/>
          <w:sz w:val="24"/>
        </w:rPr>
        <w:t>，本科实习经费1811.03</w:t>
      </w:r>
      <w:r>
        <w:rPr>
          <w:rFonts w:asciiTheme="minorEastAsia" w:hAnsiTheme="minorEastAsia" w:eastAsiaTheme="minorEastAsia"/>
          <w:kern w:val="0"/>
          <w:sz w:val="24"/>
        </w:rPr>
        <w:t>万元</w:t>
      </w:r>
      <w:r>
        <w:rPr>
          <w:rFonts w:hint="eastAsia" w:asciiTheme="minorEastAsia" w:hAnsiTheme="minorEastAsia" w:eastAsiaTheme="minorEastAsia"/>
          <w:kern w:val="0"/>
          <w:sz w:val="24"/>
        </w:rPr>
        <w:t>，生均本科实习经费1440.87</w:t>
      </w:r>
      <w:r>
        <w:rPr>
          <w:rFonts w:asciiTheme="minorEastAsia" w:hAnsiTheme="minorEastAsia" w:eastAsiaTheme="minorEastAsia"/>
          <w:kern w:val="0"/>
          <w:sz w:val="24"/>
        </w:rPr>
        <w:t>元</w:t>
      </w:r>
      <w:r>
        <w:rPr>
          <w:rFonts w:hint="eastAsia" w:asciiTheme="minorEastAsia" w:hAnsiTheme="minorEastAsia" w:eastAsiaTheme="minorEastAsia"/>
          <w:kern w:val="0"/>
          <w:sz w:val="24"/>
        </w:rPr>
        <w:t>。</w:t>
      </w:r>
    </w:p>
    <w:bookmarkEnd w:id="1"/>
    <w:p>
      <w:pPr>
        <w:numPr>
          <w:ilvl w:val="0"/>
          <w:numId w:val="3"/>
        </w:numPr>
        <w:ind w:left="298" w:leftChars="142"/>
        <w:jc w:val="left"/>
        <w:rPr>
          <w:rFonts w:ascii="Times New Roman" w:hAnsi="Times New Roman" w:eastAsia="黑体"/>
          <w:kern w:val="0"/>
          <w:sz w:val="28"/>
          <w:szCs w:val="28"/>
        </w:rPr>
      </w:pPr>
      <w:r>
        <w:rPr>
          <w:rFonts w:ascii="Times New Roman" w:hAnsi="黑体" w:eastAsia="黑体"/>
          <w:kern w:val="0"/>
          <w:sz w:val="28"/>
          <w:szCs w:val="28"/>
        </w:rPr>
        <w:t>基础设施</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w:t>
      </w:r>
      <w:r>
        <w:rPr>
          <w:rFonts w:hint="eastAsia" w:asciiTheme="minorEastAsia" w:hAnsiTheme="minorEastAsia" w:eastAsiaTheme="minorEastAsia"/>
          <w:kern w:val="0"/>
          <w:sz w:val="24"/>
        </w:rPr>
        <w:t>总占地面积</w:t>
      </w:r>
      <w:r>
        <w:rPr>
          <w:rFonts w:asciiTheme="minorEastAsia" w:hAnsiTheme="minorEastAsia" w:eastAsiaTheme="minorEastAsia"/>
          <w:kern w:val="0"/>
          <w:sz w:val="24"/>
        </w:rPr>
        <w:t>74.19</w:t>
      </w:r>
      <w:r>
        <w:rPr>
          <w:rFonts w:hint="eastAsia" w:asciiTheme="minorEastAsia" w:hAnsiTheme="minorEastAsia" w:eastAsiaTheme="minorEastAsia"/>
          <w:kern w:val="0"/>
          <w:sz w:val="24"/>
        </w:rPr>
        <w:t>万平方米，</w:t>
      </w:r>
      <w:r>
        <w:rPr>
          <w:rFonts w:asciiTheme="minorEastAsia" w:hAnsiTheme="minorEastAsia" w:eastAsiaTheme="minorEastAsia"/>
          <w:kern w:val="0"/>
          <w:sz w:val="24"/>
        </w:rPr>
        <w:t>总建筑面积23.36万平方米，教学楼14座，</w:t>
      </w:r>
      <w:r>
        <w:rPr>
          <w:rFonts w:hint="eastAsia" w:asciiTheme="minorEastAsia" w:hAnsiTheme="minorEastAsia" w:eastAsiaTheme="minorEastAsia"/>
          <w:kern w:val="0"/>
          <w:sz w:val="24"/>
        </w:rPr>
        <w:t>教学行政用房面积13.55</w:t>
      </w:r>
      <w:r>
        <w:rPr>
          <w:rFonts w:asciiTheme="minorEastAsia" w:hAnsiTheme="minorEastAsia" w:eastAsiaTheme="minorEastAsia"/>
          <w:kern w:val="0"/>
          <w:sz w:val="24"/>
        </w:rPr>
        <w:t>万平方米</w:t>
      </w:r>
      <w:r>
        <w:rPr>
          <w:rFonts w:hint="eastAsia" w:asciiTheme="minorEastAsia" w:hAnsiTheme="minorEastAsia" w:eastAsiaTheme="minorEastAsia"/>
          <w:kern w:val="0"/>
          <w:sz w:val="24"/>
        </w:rPr>
        <w:t>，</w:t>
      </w:r>
      <w:r>
        <w:rPr>
          <w:rFonts w:asciiTheme="minorEastAsia" w:hAnsiTheme="minorEastAsia" w:eastAsiaTheme="minorEastAsia"/>
          <w:kern w:val="0"/>
          <w:sz w:val="24"/>
        </w:rPr>
        <w:t>生均教学行政用房</w:t>
      </w:r>
      <w:r>
        <w:rPr>
          <w:rFonts w:hint="eastAsia" w:asciiTheme="minorEastAsia" w:hAnsiTheme="minorEastAsia" w:eastAsiaTheme="minorEastAsia"/>
          <w:kern w:val="0"/>
          <w:sz w:val="24"/>
        </w:rPr>
        <w:t>9.99</w:t>
      </w:r>
      <w:r>
        <w:rPr>
          <w:rFonts w:asciiTheme="minorEastAsia" w:hAnsiTheme="minorEastAsia" w:eastAsiaTheme="minorEastAsia"/>
          <w:kern w:val="0"/>
          <w:sz w:val="24"/>
        </w:rPr>
        <w:t>平方米；实验室面积为</w:t>
      </w:r>
      <w:r>
        <w:rPr>
          <w:rFonts w:hint="eastAsia" w:asciiTheme="minorEastAsia" w:hAnsiTheme="minorEastAsia" w:eastAsiaTheme="minorEastAsia"/>
          <w:kern w:val="0"/>
          <w:sz w:val="24"/>
        </w:rPr>
        <w:t>2.31</w:t>
      </w:r>
      <w:r>
        <w:rPr>
          <w:rFonts w:asciiTheme="minorEastAsia" w:hAnsiTheme="minorEastAsia" w:eastAsiaTheme="minorEastAsia"/>
          <w:kern w:val="0"/>
          <w:sz w:val="24"/>
        </w:rPr>
        <w:t>万平方米，生均实验室面积为</w:t>
      </w:r>
      <w:r>
        <w:rPr>
          <w:rFonts w:hint="eastAsia" w:asciiTheme="minorEastAsia" w:hAnsiTheme="minorEastAsia" w:eastAsiaTheme="minorEastAsia"/>
          <w:kern w:val="0"/>
          <w:sz w:val="24"/>
        </w:rPr>
        <w:t>1.71</w:t>
      </w:r>
      <w:r>
        <w:rPr>
          <w:rFonts w:asciiTheme="minorEastAsia" w:hAnsiTheme="minorEastAsia" w:eastAsiaTheme="minorEastAsia"/>
          <w:kern w:val="0"/>
          <w:sz w:val="24"/>
        </w:rPr>
        <w:t>平方米；</w:t>
      </w:r>
      <w:r>
        <w:rPr>
          <w:rFonts w:hint="eastAsia" w:asciiTheme="minorEastAsia" w:hAnsiTheme="minorEastAsia" w:eastAsiaTheme="minorEastAsia"/>
          <w:kern w:val="0"/>
          <w:sz w:val="24"/>
        </w:rPr>
        <w:t>教学科研仪器设备总值20034.78万元，当年新增教学科研仪器设备值943.08</w:t>
      </w:r>
      <w:r>
        <w:rPr>
          <w:rFonts w:asciiTheme="minorEastAsia" w:hAnsiTheme="minorEastAsia" w:eastAsiaTheme="minorEastAsia"/>
          <w:kern w:val="0"/>
          <w:sz w:val="24"/>
        </w:rPr>
        <w:t>万元</w:t>
      </w:r>
      <w:r>
        <w:rPr>
          <w:rFonts w:hint="eastAsia" w:asciiTheme="minorEastAsia" w:hAnsiTheme="minorEastAsia" w:eastAsiaTheme="minorEastAsia"/>
          <w:kern w:val="0"/>
          <w:sz w:val="24"/>
        </w:rPr>
        <w:t>，生均教学科研仪器设备值13801.48</w:t>
      </w:r>
      <w:r>
        <w:rPr>
          <w:rFonts w:asciiTheme="minorEastAsia" w:hAnsiTheme="minorEastAsia" w:eastAsiaTheme="minorEastAsia"/>
          <w:kern w:val="0"/>
          <w:sz w:val="24"/>
        </w:rPr>
        <w:t>元</w:t>
      </w:r>
      <w:r>
        <w:rPr>
          <w:rFonts w:hint="eastAsia" w:asciiTheme="minorEastAsia" w:hAnsiTheme="minorEastAsia" w:eastAsiaTheme="minorEastAsia"/>
          <w:kern w:val="0"/>
          <w:sz w:val="24"/>
        </w:rPr>
        <w:t>。</w:t>
      </w:r>
      <w:r>
        <w:rPr>
          <w:rFonts w:asciiTheme="minorEastAsia" w:hAnsiTheme="minorEastAsia" w:eastAsiaTheme="minorEastAsia"/>
          <w:kern w:val="0"/>
          <w:sz w:val="24"/>
        </w:rPr>
        <w:t>学校图书馆馆藏纸质图书</w:t>
      </w:r>
      <w:r>
        <w:rPr>
          <w:rFonts w:hint="eastAsia" w:asciiTheme="minorEastAsia" w:hAnsiTheme="minorEastAsia" w:eastAsiaTheme="minorEastAsia"/>
          <w:kern w:val="0"/>
          <w:sz w:val="24"/>
        </w:rPr>
        <w:t>130.95</w:t>
      </w:r>
      <w:r>
        <w:rPr>
          <w:rFonts w:asciiTheme="minorEastAsia" w:hAnsiTheme="minorEastAsia" w:eastAsiaTheme="minorEastAsia"/>
          <w:kern w:val="0"/>
          <w:sz w:val="24"/>
        </w:rPr>
        <w:t>万册，生均纸质图书</w:t>
      </w:r>
      <w:r>
        <w:rPr>
          <w:rFonts w:hint="eastAsia" w:asciiTheme="minorEastAsia" w:hAnsiTheme="minorEastAsia" w:eastAsiaTheme="minorEastAsia"/>
          <w:kern w:val="0"/>
          <w:sz w:val="24"/>
        </w:rPr>
        <w:t>90.21</w:t>
      </w:r>
      <w:r>
        <w:rPr>
          <w:rFonts w:asciiTheme="minorEastAsia" w:hAnsiTheme="minorEastAsia" w:eastAsiaTheme="minorEastAsia"/>
          <w:kern w:val="0"/>
          <w:sz w:val="24"/>
        </w:rPr>
        <w:t>册，</w:t>
      </w:r>
      <w:r>
        <w:rPr>
          <w:rFonts w:hint="eastAsia" w:asciiTheme="minorEastAsia" w:hAnsiTheme="minorEastAsia" w:eastAsiaTheme="minorEastAsia"/>
          <w:kern w:val="0"/>
          <w:sz w:val="24"/>
        </w:rPr>
        <w:t>电子图书、期刊合计662351册，生均电子图书、期刊45.63册，图书馆设五部一室，设各类借阅室、阅览室、密集书库、电子阅览室，阅览座位4000多个，周开馆达112小时，数字资源24小时开放，为读者提供全方位的开放阅读服务。</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学校体育场面积为5</w:t>
      </w:r>
      <w:r>
        <w:rPr>
          <w:rFonts w:hint="eastAsia" w:asciiTheme="minorEastAsia" w:hAnsiTheme="minorEastAsia" w:eastAsiaTheme="minorEastAsia"/>
          <w:kern w:val="0"/>
          <w:sz w:val="24"/>
        </w:rPr>
        <w:t>6069</w:t>
      </w:r>
      <w:r>
        <w:rPr>
          <w:rFonts w:asciiTheme="minorEastAsia" w:hAnsiTheme="minorEastAsia" w:eastAsiaTheme="minorEastAsia"/>
          <w:kern w:val="0"/>
          <w:sz w:val="24"/>
        </w:rPr>
        <w:t>.8</w:t>
      </w:r>
      <w:r>
        <w:rPr>
          <w:rFonts w:hint="eastAsia" w:asciiTheme="minorEastAsia" w:hAnsiTheme="minorEastAsia" w:eastAsiaTheme="minorEastAsia"/>
          <w:kern w:val="0"/>
          <w:sz w:val="24"/>
        </w:rPr>
        <w:t>0</w:t>
      </w:r>
      <w:r>
        <w:rPr>
          <w:rFonts w:asciiTheme="minorEastAsia" w:hAnsiTheme="minorEastAsia" w:eastAsiaTheme="minorEastAsia"/>
          <w:kern w:val="0"/>
          <w:sz w:val="24"/>
        </w:rPr>
        <w:t>平米，其中室外体育场地总建筑面积为</w:t>
      </w:r>
      <w:r>
        <w:rPr>
          <w:rFonts w:hint="eastAsia" w:asciiTheme="minorEastAsia" w:hAnsiTheme="minorEastAsia" w:eastAsiaTheme="minorEastAsia"/>
          <w:kern w:val="0"/>
          <w:sz w:val="24"/>
        </w:rPr>
        <w:t>52578.80</w:t>
      </w:r>
      <w:r>
        <w:rPr>
          <w:rFonts w:asciiTheme="minorEastAsia" w:hAnsiTheme="minorEastAsia" w:eastAsiaTheme="minorEastAsia"/>
          <w:kern w:val="0"/>
          <w:sz w:val="24"/>
        </w:rPr>
        <w:t>平米，室内体育场总建筑为3491平米；</w:t>
      </w:r>
      <w:r>
        <w:rPr>
          <w:rFonts w:hint="eastAsia" w:asciiTheme="minorEastAsia" w:hAnsiTheme="minorEastAsia" w:eastAsiaTheme="minorEastAsia"/>
          <w:kern w:val="0"/>
          <w:sz w:val="24"/>
        </w:rPr>
        <w:t>网络信息中心建有核心机房3间，包括中心机房1间、数据服务器机房1间、图书馆机房1间，2019年完成了21个部门的网页新建、改版制作任务，设计制作了6个专题网站，校园网总出口带宽达8.5G，开通了中国教育科研网服务，测试部署IPV6，注册赤峰学院全球教育域名，为广大的师生员工提供更加丰富的网络教育资源，</w:t>
      </w:r>
      <w:r>
        <w:rPr>
          <w:rFonts w:asciiTheme="minorEastAsia" w:hAnsiTheme="minorEastAsia" w:eastAsiaTheme="minorEastAsia"/>
          <w:kern w:val="0"/>
          <w:sz w:val="24"/>
        </w:rPr>
        <w:t>实现了有线网和无线网校园一体化的全覆盖。</w:t>
      </w:r>
    </w:p>
    <w:p>
      <w:pPr>
        <w:numPr>
          <w:ilvl w:val="0"/>
          <w:numId w:val="1"/>
        </w:numPr>
        <w:ind w:firstLine="600" w:firstLineChars="200"/>
        <w:jc w:val="left"/>
        <w:rPr>
          <w:rFonts w:ascii="Times New Roman" w:hAnsi="Times New Roman" w:eastAsia="黑体"/>
          <w:kern w:val="0"/>
          <w:sz w:val="30"/>
          <w:szCs w:val="30"/>
        </w:rPr>
      </w:pPr>
      <w:r>
        <w:rPr>
          <w:rFonts w:ascii="Times New Roman" w:hAnsi="黑体" w:eastAsia="黑体"/>
          <w:kern w:val="0"/>
          <w:sz w:val="30"/>
          <w:szCs w:val="30"/>
        </w:rPr>
        <w:t>教学建设与改革</w:t>
      </w:r>
    </w:p>
    <w:p>
      <w:pPr>
        <w:numPr>
          <w:ilvl w:val="0"/>
          <w:numId w:val="4"/>
        </w:numPr>
        <w:jc w:val="left"/>
        <w:rPr>
          <w:rFonts w:ascii="Times New Roman" w:hAnsi="Times New Roman" w:eastAsia="黑体"/>
          <w:kern w:val="0"/>
          <w:sz w:val="28"/>
          <w:szCs w:val="28"/>
        </w:rPr>
      </w:pPr>
      <w:r>
        <w:rPr>
          <w:rFonts w:ascii="Times New Roman" w:hAnsi="黑体" w:eastAsia="黑体"/>
          <w:kern w:val="0"/>
          <w:sz w:val="28"/>
          <w:szCs w:val="28"/>
        </w:rPr>
        <w:t>专业建设</w:t>
      </w:r>
    </w:p>
    <w:p>
      <w:pPr>
        <w:spacing w:line="400" w:lineRule="exact"/>
        <w:ind w:firstLine="480" w:firstLineChars="200"/>
        <w:rPr>
          <w:rFonts w:asciiTheme="minorEastAsia" w:hAnsiTheme="minorEastAsia" w:eastAsiaTheme="minorEastAsia"/>
          <w:kern w:val="0"/>
          <w:sz w:val="24"/>
          <w:highlight w:val="yellow"/>
        </w:rPr>
      </w:pPr>
      <w:r>
        <w:rPr>
          <w:rFonts w:hint="eastAsia" w:asciiTheme="minorEastAsia" w:hAnsiTheme="minorEastAsia" w:eastAsiaTheme="minorEastAsia"/>
          <w:kern w:val="0"/>
          <w:sz w:val="24"/>
        </w:rPr>
        <w:t>学校研制出台了《赤峰学院本科专业建设指导意见（试行）》、《赤峰学院本科专业设置与管理办法》</w:t>
      </w:r>
      <w:r>
        <w:rPr>
          <w:rFonts w:hint="eastAsia" w:asciiTheme="minorEastAsia" w:hAnsiTheme="minorEastAsia" w:eastAsiaTheme="minorEastAsia"/>
          <w:kern w:val="0"/>
          <w:sz w:val="24"/>
          <w:lang w:val="en-US" w:eastAsia="zh-CN"/>
        </w:rPr>
        <w:t>和</w:t>
      </w:r>
      <w:r>
        <w:rPr>
          <w:rFonts w:hint="eastAsia" w:asciiTheme="minorEastAsia" w:hAnsiTheme="minorEastAsia" w:eastAsiaTheme="minorEastAsia"/>
          <w:kern w:val="0"/>
          <w:sz w:val="24"/>
        </w:rPr>
        <w:t>《赤峰学院应用型品牌、优秀专业评选办法（试行）》等文件制度，按照专业建设发展规划的目标要求，在今后的几年里，逐步紧缩专业规模，优化专业布局，调整专业结构，加强专业建设。2019年新增本科专业3个，停招本科专业方向5个。</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制定出台《赤峰学院一流本科专业建设方案》，认真完成2019年国家级和自治区级一流本科专业评审及申报工作，我校历史学、口腔医学、建筑环境与能源应用工程、中国少数民族语言文学、物理学、汉语言文学、计算机科学与技术共7个专业成功</w:t>
      </w:r>
      <w:r>
        <w:rPr>
          <w:rFonts w:hint="eastAsia" w:asciiTheme="minorEastAsia" w:hAnsiTheme="minorEastAsia" w:eastAsiaTheme="minorEastAsia"/>
          <w:kern w:val="0"/>
          <w:sz w:val="24"/>
          <w:lang w:val="en-US" w:eastAsia="zh-CN"/>
        </w:rPr>
        <w:t>获批</w:t>
      </w:r>
      <w:r>
        <w:rPr>
          <w:rFonts w:hint="eastAsia" w:asciiTheme="minorEastAsia" w:hAnsiTheme="minorEastAsia" w:eastAsiaTheme="minorEastAsia"/>
          <w:kern w:val="0"/>
          <w:sz w:val="24"/>
        </w:rPr>
        <w:t>自治区级一流本科专业。以学校机构调整为契机，将汉语言文学、数学与应用数学、英语和应用心理学四个专业纳入新成立的师范学院，着力打造师范类专业集群，为强化师范生培养提供了机构保障；成立基础医学院、护理学院、临床医学院等二级学院，执行3+2、2+2、2.5+2.5的教学模式，努力构建医学类专业集群，为迎接教育部临床医学类专业认证工作奠定了基础。</w:t>
      </w:r>
    </w:p>
    <w:p>
      <w:pPr>
        <w:numPr>
          <w:ilvl w:val="0"/>
          <w:numId w:val="4"/>
        </w:numPr>
        <w:jc w:val="left"/>
        <w:rPr>
          <w:rFonts w:ascii="Times New Roman" w:hAnsi="Times New Roman" w:eastAsia="黑体"/>
          <w:kern w:val="0"/>
          <w:sz w:val="28"/>
          <w:szCs w:val="28"/>
        </w:rPr>
      </w:pPr>
      <w:r>
        <w:rPr>
          <w:rFonts w:ascii="Times New Roman" w:hAnsi="黑体" w:eastAsia="黑体"/>
          <w:kern w:val="0"/>
          <w:sz w:val="28"/>
          <w:szCs w:val="28"/>
        </w:rPr>
        <w:t>教材建设</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为切实落实立德树人根本任务，全面提高人才培养质量，建立健全科学的教材选用制度，规范教材管理，</w:t>
      </w:r>
      <w:r>
        <w:rPr>
          <w:rFonts w:asciiTheme="minorEastAsia" w:hAnsiTheme="minorEastAsia" w:eastAsiaTheme="minorEastAsia"/>
          <w:kern w:val="0"/>
          <w:sz w:val="24"/>
        </w:rPr>
        <w:t>学校制定实施了《赤峰学院教材管理办法》，</w:t>
      </w:r>
      <w:r>
        <w:rPr>
          <w:rFonts w:hint="eastAsia" w:asciiTheme="minorEastAsia" w:hAnsiTheme="minorEastAsia" w:eastAsiaTheme="minorEastAsia"/>
          <w:kern w:val="0"/>
          <w:sz w:val="24"/>
        </w:rPr>
        <w:t>确保教材选用、征订、发放、结算等工作有序开展，</w:t>
      </w:r>
      <w:r>
        <w:rPr>
          <w:rFonts w:asciiTheme="minorEastAsia" w:hAnsiTheme="minorEastAsia" w:eastAsiaTheme="minorEastAsia"/>
          <w:kern w:val="0"/>
          <w:sz w:val="24"/>
        </w:rPr>
        <w:t>在教材建设和使用中，坚持适用性原则、</w:t>
      </w:r>
      <w:r>
        <w:rPr>
          <w:rFonts w:hint="eastAsia" w:asciiTheme="minorEastAsia" w:hAnsiTheme="minorEastAsia" w:eastAsiaTheme="minorEastAsia"/>
          <w:kern w:val="0"/>
          <w:sz w:val="24"/>
        </w:rPr>
        <w:t>优先</w:t>
      </w:r>
      <w:r>
        <w:rPr>
          <w:rFonts w:asciiTheme="minorEastAsia" w:hAnsiTheme="minorEastAsia" w:eastAsiaTheme="minorEastAsia"/>
          <w:kern w:val="0"/>
          <w:sz w:val="24"/>
        </w:rPr>
        <w:t>性原则、统一性原则、稳定性原则、</w:t>
      </w:r>
      <w:r>
        <w:rPr>
          <w:rFonts w:hint="eastAsia" w:asciiTheme="minorEastAsia" w:hAnsiTheme="minorEastAsia" w:eastAsiaTheme="minorEastAsia"/>
          <w:kern w:val="0"/>
          <w:sz w:val="24"/>
        </w:rPr>
        <w:t>严格审核原则、</w:t>
      </w:r>
      <w:r>
        <w:rPr>
          <w:rFonts w:asciiTheme="minorEastAsia" w:hAnsiTheme="minorEastAsia" w:eastAsiaTheme="minorEastAsia"/>
          <w:kern w:val="0"/>
          <w:sz w:val="24"/>
        </w:rPr>
        <w:t>创新性原则和减负原则</w:t>
      </w:r>
      <w:r>
        <w:rPr>
          <w:rFonts w:hint="eastAsia" w:asciiTheme="minorEastAsia" w:hAnsiTheme="minorEastAsia" w:eastAsiaTheme="minorEastAsia"/>
          <w:kern w:val="0"/>
          <w:sz w:val="24"/>
        </w:rPr>
        <w:t>，</w:t>
      </w:r>
      <w:r>
        <w:rPr>
          <w:rFonts w:asciiTheme="minorEastAsia" w:hAnsiTheme="minorEastAsia" w:eastAsiaTheme="minorEastAsia"/>
          <w:kern w:val="0"/>
          <w:sz w:val="24"/>
        </w:rPr>
        <w:t>顺利</w:t>
      </w:r>
      <w:r>
        <w:rPr>
          <w:rFonts w:hint="eastAsia" w:asciiTheme="minorEastAsia" w:hAnsiTheme="minorEastAsia" w:eastAsiaTheme="minorEastAsia"/>
          <w:kern w:val="0"/>
          <w:sz w:val="24"/>
        </w:rPr>
        <w:t>完成了2019－2020学年度教材征订、发放工作及2019届毕业生教材款核算工作；完成了教材采购商的招标和合同签订及学生教材和教师用书的审计工作；完成了青马工程教材的更新和调查及蒙古文教材编著和专家库申请工作；完成了2019年高校蒙文教材审查工作。</w:t>
      </w:r>
    </w:p>
    <w:p>
      <w:pPr>
        <w:numPr>
          <w:ilvl w:val="0"/>
          <w:numId w:val="4"/>
        </w:numPr>
        <w:jc w:val="left"/>
        <w:rPr>
          <w:rFonts w:ascii="Times New Roman" w:hAnsi="黑体" w:eastAsia="黑体"/>
          <w:kern w:val="0"/>
          <w:sz w:val="28"/>
          <w:szCs w:val="28"/>
        </w:rPr>
      </w:pPr>
      <w:r>
        <w:rPr>
          <w:rFonts w:ascii="Times New Roman" w:hAnsi="黑体" w:eastAsia="黑体"/>
          <w:kern w:val="0"/>
          <w:sz w:val="28"/>
          <w:szCs w:val="28"/>
        </w:rPr>
        <w:t>教学改革</w:t>
      </w:r>
    </w:p>
    <w:p>
      <w:pPr>
        <w:spacing w:line="400" w:lineRule="exact"/>
        <w:ind w:firstLine="480" w:firstLineChars="200"/>
        <w:jc w:val="left"/>
        <w:rPr>
          <w:rFonts w:ascii="黑体" w:hAnsi="黑体" w:eastAsia="黑体"/>
          <w:kern w:val="0"/>
          <w:sz w:val="24"/>
        </w:rPr>
      </w:pPr>
      <w:r>
        <w:rPr>
          <w:rFonts w:ascii="黑体" w:hAnsi="黑体" w:eastAsia="黑体"/>
          <w:kern w:val="0"/>
          <w:sz w:val="24"/>
        </w:rPr>
        <w:t>1.教学改革的总体思路</w:t>
      </w:r>
    </w:p>
    <w:p>
      <w:pPr>
        <w:spacing w:line="400" w:lineRule="exact"/>
        <w:ind w:firstLine="480" w:firstLineChars="200"/>
        <w:rPr>
          <w:rFonts w:asciiTheme="minorEastAsia" w:hAnsiTheme="minorEastAsia" w:eastAsiaTheme="minorEastAsia"/>
          <w:kern w:val="0"/>
          <w:sz w:val="24"/>
          <w:highlight w:val="none"/>
        </w:rPr>
      </w:pPr>
      <w:r>
        <w:rPr>
          <w:rFonts w:asciiTheme="minorEastAsia" w:hAnsiTheme="minorEastAsia" w:eastAsiaTheme="minorEastAsia"/>
          <w:kern w:val="0"/>
          <w:sz w:val="24"/>
        </w:rPr>
        <w:t>学校紧紧围绕立德树人的根本任务，坚持走以质量提升为核心的内涵式发展道路，优化结构，突出实践，注重创新，强化特色，以培养区域经济社会发展需要的应用型、复合型、创新创业型人才为主要目标，以项目化改革为主要方式，积极开展人才培养模式改革、课堂教学模式改革和考核评价方式改革。</w:t>
      </w:r>
      <w:r>
        <w:rPr>
          <w:rFonts w:hint="eastAsia" w:asciiTheme="minorEastAsia" w:hAnsiTheme="minorEastAsia" w:eastAsiaTheme="minorEastAsia"/>
          <w:kern w:val="0"/>
          <w:sz w:val="24"/>
          <w:highlight w:val="none"/>
        </w:rPr>
        <w:t>以应用型人才培养为中心，扎实推进“112”工程：即坚持以学生为中心，走内涵式发展道路，推动课堂教学模式和考核评价方式两个转变。课堂教学由注重教师“教得好”向注重学生“学得会”转变，考试方式由注重“终结性考试”向注重“过程性考试”转变。</w:t>
      </w:r>
    </w:p>
    <w:p>
      <w:pPr>
        <w:spacing w:line="400" w:lineRule="exact"/>
        <w:ind w:firstLine="480" w:firstLineChars="200"/>
        <w:jc w:val="left"/>
        <w:rPr>
          <w:rFonts w:ascii="黑体" w:hAnsi="黑体" w:eastAsia="黑体"/>
          <w:spacing w:val="1"/>
          <w:sz w:val="24"/>
        </w:rPr>
      </w:pPr>
      <w:r>
        <w:rPr>
          <w:rFonts w:ascii="黑体" w:hAnsi="黑体" w:eastAsia="黑体"/>
          <w:kern w:val="0"/>
          <w:sz w:val="24"/>
        </w:rPr>
        <w:t>2.</w:t>
      </w:r>
      <w:r>
        <w:rPr>
          <w:rFonts w:hint="eastAsia" w:ascii="黑体" w:hAnsi="黑体" w:eastAsia="黑体"/>
          <w:kern w:val="0"/>
          <w:sz w:val="24"/>
        </w:rPr>
        <w:t>积极推进课堂教学模式改革和考核评价方式改革</w:t>
      </w:r>
    </w:p>
    <w:p>
      <w:pPr>
        <w:spacing w:line="400" w:lineRule="exact"/>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rPr>
        <w:t>思政课程改革。在所有思政课程中实施“对分课堂”教学模式，面向全校学生推广使用《思想政治理论课学习手册》，课堂教学过程中以学生为中心，提高了学生学习效果，促进了课堂教学从“教的会”向“学得会”转变。</w:t>
      </w:r>
      <w:r>
        <w:rPr>
          <w:rFonts w:hint="eastAsia" w:asciiTheme="minorEastAsia" w:hAnsiTheme="minorEastAsia" w:eastAsiaTheme="minorEastAsia"/>
          <w:kern w:val="0"/>
          <w:sz w:val="24"/>
          <w:highlight w:val="none"/>
          <w:lang w:val="en-US" w:eastAsia="zh-CN"/>
        </w:rPr>
        <w:t>疫情期间，</w:t>
      </w:r>
      <w:r>
        <w:rPr>
          <w:rFonts w:hint="eastAsia" w:asciiTheme="minorEastAsia" w:hAnsiTheme="minorEastAsia" w:eastAsiaTheme="minorEastAsia"/>
          <w:kern w:val="0"/>
          <w:sz w:val="24"/>
          <w:highlight w:val="none"/>
        </w:rPr>
        <w:t>各教学单位积极探索“云端思政”的新模式，将课程思政贯穿于线上教学设计和实施的全过程；在线上教学中践行初心使命，肩负起 “守好一段渠，种好责任田”的使命担当，在虚拟的云端课堂中充分利用教学各环节，对学生从价值塑造、树立信心、坚定理想等方面进行正确引导，不仅做到</w:t>
      </w:r>
      <w:r>
        <w:rPr>
          <w:rFonts w:hint="eastAsia" w:asciiTheme="minorEastAsia" w:hAnsiTheme="minorEastAsia" w:eastAsiaTheme="minorEastAsia"/>
          <w:kern w:val="0"/>
          <w:sz w:val="24"/>
          <w:highlight w:val="none"/>
          <w:lang w:val="en-US" w:eastAsia="zh-CN"/>
        </w:rPr>
        <w:t>了</w:t>
      </w:r>
      <w:r>
        <w:rPr>
          <w:rFonts w:hint="eastAsia" w:asciiTheme="minorEastAsia" w:hAnsiTheme="minorEastAsia" w:eastAsiaTheme="minorEastAsia"/>
          <w:kern w:val="0"/>
          <w:sz w:val="24"/>
          <w:highlight w:val="none"/>
        </w:rPr>
        <w:t>“停课不停教，停课不停学”，更实现</w:t>
      </w:r>
      <w:r>
        <w:rPr>
          <w:rFonts w:hint="eastAsia" w:asciiTheme="minorEastAsia" w:hAnsiTheme="minorEastAsia" w:eastAsiaTheme="minorEastAsia"/>
          <w:kern w:val="0"/>
          <w:sz w:val="24"/>
          <w:highlight w:val="none"/>
          <w:lang w:val="en-US" w:eastAsia="zh-CN"/>
        </w:rPr>
        <w:t>了</w:t>
      </w:r>
      <w:r>
        <w:rPr>
          <w:rFonts w:hint="eastAsia" w:asciiTheme="minorEastAsia" w:hAnsiTheme="minorEastAsia" w:eastAsiaTheme="minorEastAsia"/>
          <w:kern w:val="0"/>
          <w:sz w:val="24"/>
          <w:highlight w:val="none"/>
        </w:rPr>
        <w:t>“停课不停育”，切实提升在线教学育人实效。</w:t>
      </w:r>
    </w:p>
    <w:p>
      <w:pPr>
        <w:spacing w:line="400" w:lineRule="exact"/>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rPr>
        <w:t>课堂教学模式改革。倡导案例式、合作式、参与式教学，鼓励教师全面使用“泛雅”网络教学平台、内化ISEC教学理念、引进行业企业师资校内授课、支持教师外出学习交流等方式引导教师转变课堂教学模式。本年度，应用ISEC理念进行授课的课程300余门，校企合作的办学模式下由企业方嵌入课程100余门。</w:t>
      </w:r>
      <w:r>
        <w:rPr>
          <w:rFonts w:hint="eastAsia" w:asciiTheme="minorEastAsia" w:hAnsiTheme="minorEastAsia" w:eastAsiaTheme="minorEastAsia"/>
          <w:kern w:val="0"/>
          <w:sz w:val="24"/>
          <w:highlight w:val="none"/>
          <w:lang w:val="en-US" w:eastAsia="zh-CN"/>
        </w:rPr>
        <w:t>疫情期间，学</w:t>
      </w:r>
      <w:r>
        <w:rPr>
          <w:rFonts w:hint="eastAsia" w:asciiTheme="minorEastAsia" w:hAnsiTheme="minorEastAsia" w:eastAsiaTheme="minorEastAsia"/>
          <w:kern w:val="0"/>
          <w:sz w:val="24"/>
          <w:highlight w:val="none"/>
        </w:rPr>
        <w:t>校下发《关于征集全校在线教学典型案例及推荐在线教学观摩课的通知》，通过二级单位和学校教学督导组遴选推荐了疫情防控期间在线教学典型案例59个。面向全校范围组织开展了在线教学观摩课</w:t>
      </w:r>
      <w:r>
        <w:rPr>
          <w:rFonts w:hint="eastAsia" w:asciiTheme="minorEastAsia" w:hAnsiTheme="minorEastAsia" w:eastAsiaTheme="minorEastAsia"/>
          <w:kern w:val="0"/>
          <w:sz w:val="24"/>
          <w:highlight w:val="none"/>
          <w:lang w:eastAsia="zh-CN"/>
        </w:rPr>
        <w:t>，</w:t>
      </w:r>
      <w:r>
        <w:rPr>
          <w:rFonts w:hint="eastAsia" w:asciiTheme="minorEastAsia" w:hAnsiTheme="minorEastAsia" w:eastAsiaTheme="minorEastAsia"/>
          <w:kern w:val="0"/>
          <w:sz w:val="24"/>
          <w:highlight w:val="none"/>
          <w:lang w:val="en-US" w:eastAsia="zh-CN"/>
        </w:rPr>
        <w:t>主要</w:t>
      </w:r>
      <w:r>
        <w:rPr>
          <w:rFonts w:hint="eastAsia" w:asciiTheme="minorEastAsia" w:hAnsiTheme="minorEastAsia" w:eastAsiaTheme="minorEastAsia"/>
          <w:kern w:val="0"/>
          <w:sz w:val="24"/>
          <w:highlight w:val="none"/>
        </w:rPr>
        <w:t>聚焦师范类、医学类、文史类、理工类、管理类和艺体类专业课程6大类共有45门课程</w:t>
      </w:r>
      <w:r>
        <w:rPr>
          <w:rFonts w:hint="eastAsia" w:asciiTheme="minorEastAsia" w:hAnsiTheme="minorEastAsia" w:eastAsiaTheme="minorEastAsia"/>
          <w:kern w:val="0"/>
          <w:sz w:val="24"/>
          <w:highlight w:val="none"/>
          <w:lang w:eastAsia="zh-CN"/>
        </w:rPr>
        <w:t>；</w:t>
      </w:r>
      <w:r>
        <w:rPr>
          <w:rFonts w:hint="eastAsia" w:asciiTheme="minorEastAsia" w:hAnsiTheme="minorEastAsia" w:eastAsiaTheme="minorEastAsia"/>
          <w:kern w:val="0"/>
          <w:sz w:val="24"/>
          <w:highlight w:val="none"/>
        </w:rPr>
        <w:t>举办了第三届“超星杯”移动教学大赛，18位教师脱颖而出，取得了优异成绩，以上措施对广大教师积极应用现代信息技术手段，更新在线教学理念，创新在线教学模式，提高在线教学质量，推动课堂模式与考核方式改革起到了积极</w:t>
      </w:r>
      <w:r>
        <w:rPr>
          <w:rFonts w:hint="eastAsia" w:asciiTheme="minorEastAsia" w:hAnsiTheme="minorEastAsia" w:eastAsiaTheme="minorEastAsia"/>
          <w:kern w:val="0"/>
          <w:sz w:val="24"/>
          <w:highlight w:val="none"/>
          <w:lang w:val="en-US" w:eastAsia="zh-CN"/>
        </w:rPr>
        <w:t>促进</w:t>
      </w:r>
      <w:r>
        <w:rPr>
          <w:rFonts w:hint="eastAsia" w:asciiTheme="minorEastAsia" w:hAnsiTheme="minorEastAsia" w:eastAsiaTheme="minorEastAsia"/>
          <w:kern w:val="0"/>
          <w:sz w:val="24"/>
          <w:highlight w:val="none"/>
        </w:rPr>
        <w:t>作用。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推广应用“双改”项目课程研究成果。通过召开教学工作研讨会、经验交流会、教学沙龙等多种方式推广教学研究成果，鼓励教师将“双改”教学研究与改革应用到课程教学中，有力促进了教学改革。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kern w:val="0"/>
          <w:sz w:val="24"/>
        </w:rPr>
      </w:pPr>
      <w:r>
        <w:rPr>
          <w:rFonts w:hint="eastAsia" w:asciiTheme="minorEastAsia" w:hAnsiTheme="minorEastAsia" w:eastAsiaTheme="minorEastAsia"/>
          <w:kern w:val="0"/>
          <w:sz w:val="24"/>
        </w:rPr>
        <w:t>考核评价方式改革。积极探索符合课堂教学模式改革的考核评价方式改革，拟取消期中考试周，借鉴ISEC课程过程性考核评价方式，倡导由终结性评价向过程性评价进行转变，倡导多样化、多层次、多元化的现代化考核评价体系，结合课程性质科学设计合理的考核方式和考核形式。2019年，近百门课程已实施了过程化考核，多门课程采取机考模式，突出体现学生中心地位和学习主体地位，有效提升课程考核的效信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黑体" w:hAnsi="黑体" w:eastAsia="黑体"/>
          <w:kern w:val="0"/>
          <w:sz w:val="24"/>
        </w:rPr>
      </w:pPr>
      <w:r>
        <w:rPr>
          <w:rFonts w:hint="eastAsia" w:ascii="黑体" w:hAnsi="黑体" w:eastAsia="黑体"/>
          <w:kern w:val="0"/>
          <w:sz w:val="24"/>
        </w:rPr>
        <w:t>3.持续强化U-G-S教育实习模式改革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kern w:val="0"/>
          <w:sz w:val="24"/>
        </w:rPr>
      </w:pPr>
      <w:r>
        <w:rPr>
          <w:rFonts w:hint="eastAsia" w:asciiTheme="minorEastAsia" w:hAnsiTheme="minorEastAsia" w:eastAsiaTheme="minorEastAsia"/>
          <w:kern w:val="0"/>
          <w:sz w:val="24"/>
        </w:rPr>
        <w:t>结合师范类专业认证标准，师范生教育实习时间从12周延长至18周的同时，加强实习实训基地建设，实行教育实习基地动态管理，有效推进师范生教育实习工作。2019年度，新增蒙授师范类专业教育实习基地30余个，U-G-S教育实习基地总数达240个，有力保障了本年度1200余人的教育实习，取得了良好效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kern w:val="0"/>
          <w:sz w:val="24"/>
        </w:rPr>
      </w:pPr>
      <w:r>
        <w:rPr>
          <w:rFonts w:hint="eastAsia" w:ascii="黑体" w:hAnsi="黑体" w:eastAsia="黑体"/>
          <w:kern w:val="0"/>
          <w:sz w:val="24"/>
        </w:rPr>
        <w:t>4.探索</w:t>
      </w:r>
      <w:r>
        <w:rPr>
          <w:rFonts w:ascii="黑体" w:hAnsi="黑体" w:eastAsia="黑体"/>
          <w:kern w:val="0"/>
          <w:sz w:val="24"/>
        </w:rPr>
        <w:t>实践创新学期新模式</w:t>
      </w:r>
      <w:r>
        <w:rPr>
          <w:rFonts w:hint="eastAsia" w:ascii="黑体" w:hAnsi="黑体" w:eastAsia="黑体"/>
          <w:kern w:val="0"/>
          <w:sz w:val="24"/>
        </w:rPr>
        <w:t>及毕业论文管理模式改革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kern w:val="0"/>
          <w:sz w:val="24"/>
        </w:rPr>
      </w:pPr>
      <w:r>
        <w:rPr>
          <w:rFonts w:asciiTheme="minorEastAsia" w:hAnsiTheme="minorEastAsia" w:eastAsiaTheme="minorEastAsia"/>
          <w:kern w:val="0"/>
          <w:sz w:val="24"/>
        </w:rPr>
        <w:t>继续实施实践创新学期，对实践创新学期任课教师资质及教学内容进行了全面的督查，规范了实践创新创业教学管理，提高了实践创新学期教学质量；同时严格落实《赤峰学院大学生实践创新创业活动管理办法（试行）》，将创新创业教育融入人才培养全过程。上半年度，完成了2019年大学生创新创业训练计划项目的评审及立项工作，其中校级项目52项，自治区级项目18项，国家级项目5项。</w:t>
      </w:r>
    </w:p>
    <w:p>
      <w:pPr>
        <w:spacing w:line="400" w:lineRule="exact"/>
        <w:ind w:firstLine="480" w:firstLineChars="200"/>
        <w:rPr>
          <w:rFonts w:ascii="Times New Roman" w:hAnsi="Times New Roman" w:eastAsia="黑体"/>
          <w:kern w:val="0"/>
          <w:sz w:val="30"/>
          <w:szCs w:val="30"/>
        </w:rPr>
      </w:pPr>
      <w:r>
        <w:rPr>
          <w:rFonts w:hint="eastAsia" w:asciiTheme="minorEastAsia" w:hAnsiTheme="minorEastAsia" w:eastAsiaTheme="minorEastAsia"/>
          <w:kern w:val="0"/>
          <w:sz w:val="24"/>
        </w:rPr>
        <w:t>积极探索毕业论文管理模式改革，强化毕业论文指导与管理工作，</w:t>
      </w:r>
      <w:r>
        <w:rPr>
          <w:rFonts w:hint="eastAsia" w:asciiTheme="minorEastAsia" w:hAnsiTheme="minorEastAsia" w:eastAsiaTheme="minorEastAsia"/>
          <w:kern w:val="0"/>
          <w:sz w:val="24"/>
          <w:lang w:val="en-US" w:eastAsia="zh-CN"/>
        </w:rPr>
        <w:t>着力</w:t>
      </w:r>
      <w:r>
        <w:rPr>
          <w:rFonts w:hint="eastAsia" w:asciiTheme="minorEastAsia" w:hAnsiTheme="minorEastAsia" w:eastAsiaTheme="minorEastAsia"/>
          <w:kern w:val="0"/>
          <w:sz w:val="24"/>
        </w:rPr>
        <w:t>解决目前毕业论文管理中存在的问题，建立系统、规范的系统管理机制，提高毕业论文质量，提升人才培养质量。拟与中国知网合作启用“中国知网大学生毕业论文管理系统”，构建基于信息化平台的毕业论文管理模式，实现毕业论文工作的信息化管理，</w:t>
      </w:r>
      <w:r>
        <w:rPr>
          <w:rFonts w:hint="eastAsia" w:asciiTheme="minorEastAsia" w:hAnsiTheme="minorEastAsia" w:eastAsiaTheme="minorEastAsia"/>
          <w:kern w:val="0"/>
          <w:sz w:val="24"/>
          <w:lang w:val="en-US" w:eastAsia="zh-CN"/>
        </w:rPr>
        <w:t>为</w:t>
      </w:r>
      <w:r>
        <w:rPr>
          <w:rFonts w:hint="eastAsia" w:asciiTheme="minorEastAsia" w:hAnsiTheme="minorEastAsia" w:eastAsiaTheme="minorEastAsia"/>
          <w:kern w:val="0"/>
          <w:sz w:val="24"/>
        </w:rPr>
        <w:t>切实提高毕业论文质量奠定基本保障。</w:t>
      </w:r>
    </w:p>
    <w:p>
      <w:pPr>
        <w:numPr>
          <w:ilvl w:val="0"/>
          <w:numId w:val="4"/>
        </w:numPr>
        <w:jc w:val="left"/>
        <w:rPr>
          <w:rFonts w:ascii="Times New Roman" w:hAnsi="Times New Roman" w:eastAsia="黑体"/>
          <w:kern w:val="0"/>
          <w:sz w:val="28"/>
          <w:szCs w:val="28"/>
        </w:rPr>
      </w:pPr>
      <w:r>
        <w:rPr>
          <w:rFonts w:ascii="Times New Roman" w:hAnsi="黑体" w:eastAsia="黑体"/>
          <w:kern w:val="0"/>
          <w:sz w:val="28"/>
          <w:szCs w:val="28"/>
        </w:rPr>
        <w:t>课堂教学</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课堂教学倡导案例式、合作式、参与式教学，鼓励教师全面使用“泛雅”网络教学平台、内化ISEC教学理念、引进行业企业师资校内授课、支持教师外出学习交流等方式引导教师转变课堂教学模式。2019年度，应用ISEC理念进行授课的课程300余门，校企合作的办学模式下由企业方嵌入课程100余门。</w:t>
      </w:r>
      <w:r>
        <w:rPr>
          <w:rFonts w:asciiTheme="minorEastAsia" w:hAnsiTheme="minorEastAsia" w:eastAsiaTheme="minorEastAsia"/>
          <w:kern w:val="0"/>
          <w:sz w:val="24"/>
        </w:rPr>
        <w:t>引导广大教师借鉴ISEC考核模式，增加过程性评价，形成多样性考核评价方式，积极推动教考分离、无纸化考试和题库建设，并推行流水阅卷制度。</w:t>
      </w:r>
    </w:p>
    <w:p>
      <w:pPr>
        <w:spacing w:line="400" w:lineRule="exact"/>
        <w:ind w:firstLine="480" w:firstLineChars="200"/>
        <w:rPr>
          <w:rFonts w:hint="default" w:asciiTheme="minorEastAsia" w:hAnsiTheme="minorEastAsia" w:eastAsiaTheme="minorEastAsia"/>
          <w:kern w:val="0"/>
          <w:sz w:val="24"/>
          <w:highlight w:val="yellow"/>
          <w:lang w:val="en-US" w:eastAsia="zh-CN"/>
        </w:rPr>
      </w:pPr>
      <w:r>
        <w:rPr>
          <w:rFonts w:hint="eastAsia" w:asciiTheme="minorEastAsia" w:hAnsiTheme="minorEastAsia" w:eastAsiaTheme="minorEastAsia"/>
          <w:kern w:val="0"/>
          <w:sz w:val="24"/>
          <w:highlight w:val="none"/>
        </w:rPr>
        <w:t>为坚决贯彻落实教育部、自治区教育厅关于新型冠状病毒感染的肺炎疫情防控工作要求，根据《赤峰学院 2019-2020 学年第二学期开学前后防控新冠肺炎疫情应急预案》及《赤峰学院本专科学生返校前教学工作方案》要求，2020 年春季本专科教学工作自3月9日起开展线上教学，</w:t>
      </w:r>
      <w:r>
        <w:rPr>
          <w:rFonts w:hint="eastAsia" w:asciiTheme="minorEastAsia" w:hAnsiTheme="minorEastAsia" w:eastAsiaTheme="minorEastAsia"/>
          <w:kern w:val="0"/>
          <w:sz w:val="24"/>
          <w:highlight w:val="none"/>
          <w:lang w:val="en-US" w:eastAsia="zh-CN"/>
        </w:rPr>
        <w:t>第一</w:t>
      </w:r>
      <w:r>
        <w:rPr>
          <w:rFonts w:hint="eastAsia" w:asciiTheme="minorEastAsia" w:hAnsiTheme="minorEastAsia" w:eastAsiaTheme="minorEastAsia"/>
          <w:kern w:val="0"/>
          <w:sz w:val="24"/>
          <w:highlight w:val="none"/>
        </w:rPr>
        <w:t>周共有923位教师为10556名学生在线教授课程1017门。平台日均访问量(PV)约1200万，基础医学院教师活跃度排名第一</w:t>
      </w:r>
      <w:r>
        <w:rPr>
          <w:rFonts w:hint="eastAsia" w:asciiTheme="minorEastAsia" w:hAnsiTheme="minorEastAsia" w:eastAsiaTheme="minorEastAsia"/>
          <w:kern w:val="0"/>
          <w:sz w:val="24"/>
          <w:highlight w:val="none"/>
          <w:lang w:eastAsia="zh-CN"/>
        </w:rPr>
        <w:t>，</w:t>
      </w:r>
      <w:r>
        <w:rPr>
          <w:rFonts w:hint="eastAsia" w:asciiTheme="minorEastAsia" w:hAnsiTheme="minorEastAsia" w:eastAsiaTheme="minorEastAsia"/>
          <w:kern w:val="0"/>
          <w:sz w:val="24"/>
          <w:highlight w:val="none"/>
        </w:rPr>
        <w:t>学期教育与特殊教育学院学生活跃度排名第一</w:t>
      </w:r>
      <w:r>
        <w:rPr>
          <w:rFonts w:hint="eastAsia" w:asciiTheme="minorEastAsia" w:hAnsiTheme="minorEastAsia" w:eastAsiaTheme="minorEastAsia"/>
          <w:kern w:val="0"/>
          <w:sz w:val="24"/>
          <w:highlight w:val="none"/>
          <w:lang w:eastAsia="zh-CN"/>
        </w:rPr>
        <w:t>，共有1363名教师累计在泛雅网络教学平台建课4799门，创建教学班级9018个；参于学习学生人数较稳定，日均上线9800余人；师生在平台上的课堂互动情况良好，平均每达到了25000余次；师生在平台上的讨论频繁，日均达到了13294次；</w:t>
      </w:r>
      <w:r>
        <w:rPr>
          <w:rFonts w:hint="eastAsia" w:asciiTheme="minorEastAsia" w:hAnsiTheme="minorEastAsia" w:eastAsiaTheme="minorEastAsia"/>
          <w:kern w:val="0"/>
          <w:sz w:val="24"/>
          <w:highlight w:val="none"/>
          <w:lang w:val="en-US" w:eastAsia="zh-CN"/>
        </w:rPr>
        <w:t>教师在</w:t>
      </w:r>
      <w:r>
        <w:rPr>
          <w:rFonts w:hint="eastAsia" w:asciiTheme="minorEastAsia" w:hAnsiTheme="minorEastAsia" w:eastAsiaTheme="minorEastAsia"/>
          <w:kern w:val="0"/>
          <w:sz w:val="24"/>
          <w:highlight w:val="none"/>
          <w:lang w:eastAsia="zh-CN"/>
        </w:rPr>
        <w:t>平台上发布的作业共1546份，批阅作业共25036份；累计上传资源265241个，其中视频8470个，音频7552个，文本28885</w:t>
      </w:r>
      <w:r>
        <w:rPr>
          <w:rFonts w:hint="eastAsia" w:asciiTheme="minorEastAsia" w:hAnsiTheme="minorEastAsia" w:eastAsiaTheme="minorEastAsia"/>
          <w:kern w:val="0"/>
          <w:sz w:val="24"/>
          <w:highlight w:val="none"/>
          <w:lang w:val="en-US" w:eastAsia="zh-CN"/>
        </w:rPr>
        <w:t>份</w:t>
      </w:r>
      <w:r>
        <w:rPr>
          <w:rFonts w:hint="eastAsia" w:asciiTheme="minorEastAsia" w:hAnsiTheme="minorEastAsia" w:eastAsiaTheme="minorEastAsia"/>
          <w:kern w:val="0"/>
          <w:sz w:val="24"/>
          <w:highlight w:val="none"/>
          <w:lang w:eastAsia="zh-CN"/>
        </w:rPr>
        <w:t>，图片220334</w:t>
      </w:r>
      <w:r>
        <w:rPr>
          <w:rFonts w:hint="eastAsia" w:asciiTheme="minorEastAsia" w:hAnsiTheme="minorEastAsia" w:eastAsiaTheme="minorEastAsia"/>
          <w:kern w:val="0"/>
          <w:sz w:val="24"/>
          <w:highlight w:val="none"/>
          <w:lang w:val="en-US" w:eastAsia="zh-CN"/>
        </w:rPr>
        <w:t>张。教务处实行教学运行及质量情况周报告制度，每周统计泛雅网络教学平台使用相关数据，汇总二级学院教学运行情况、教学督导员和学生信息员工作情况，及时对线上教学的总体实施情况进行了效果分析，调研统计结果显示，随着线上教学工作的深入推进，各单位任课教师均能熟练利用各类教学软件进行线上教学，从最初的抵触到逐渐接受，到主动探索更新教学方法，从熟悉网课流程到准备网课资料，从网课平台到网课课堂，线上教学工作井然有序开展，</w:t>
      </w:r>
      <w:r>
        <w:rPr>
          <w:rFonts w:hint="eastAsia" w:asciiTheme="minorEastAsia" w:hAnsiTheme="minorEastAsia" w:eastAsiaTheme="minorEastAsia"/>
          <w:color w:val="auto"/>
          <w:kern w:val="0"/>
          <w:sz w:val="24"/>
          <w:highlight w:val="none"/>
        </w:rPr>
        <w:t>达到了预期目标并取得了良好效果。</w:t>
      </w:r>
    </w:p>
    <w:p>
      <w:pPr>
        <w:numPr>
          <w:ilvl w:val="0"/>
          <w:numId w:val="4"/>
        </w:numPr>
        <w:jc w:val="left"/>
        <w:rPr>
          <w:rFonts w:ascii="Times New Roman" w:hAnsi="Times New Roman" w:eastAsia="黑体"/>
          <w:kern w:val="0"/>
          <w:sz w:val="28"/>
          <w:szCs w:val="28"/>
        </w:rPr>
      </w:pPr>
      <w:r>
        <w:rPr>
          <w:rFonts w:ascii="Times New Roman" w:hAnsi="黑体" w:eastAsia="黑体"/>
          <w:kern w:val="0"/>
          <w:sz w:val="28"/>
          <w:szCs w:val="28"/>
        </w:rPr>
        <w:t>毕业论文（设计）</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学校制定了《赤峰学院本科毕业论文（设计）工作实施细则》</w:t>
      </w:r>
      <w:r>
        <w:rPr>
          <w:rFonts w:hint="eastAsia" w:asciiTheme="minorEastAsia" w:hAnsiTheme="minorEastAsia" w:eastAsiaTheme="minorEastAsia"/>
          <w:kern w:val="0"/>
          <w:sz w:val="24"/>
        </w:rPr>
        <w:t>《赤峰学院本科毕业论文（设计）排版规范》</w:t>
      </w:r>
      <w:r>
        <w:rPr>
          <w:rFonts w:asciiTheme="minorEastAsia" w:hAnsiTheme="minorEastAsia" w:eastAsiaTheme="minorEastAsia"/>
          <w:kern w:val="0"/>
          <w:sz w:val="24"/>
        </w:rPr>
        <w:t>《赤峰学院学士学位论文作假行为处理实施细则（试行）》等文件，明确规定了指导教师的资格、指导学生数量、指导工作计划</w:t>
      </w:r>
      <w:r>
        <w:rPr>
          <w:rFonts w:hint="eastAsia" w:asciiTheme="minorEastAsia" w:hAnsiTheme="minorEastAsia" w:eastAsiaTheme="minorEastAsia"/>
          <w:kern w:val="0"/>
          <w:sz w:val="24"/>
        </w:rPr>
        <w:t>、</w:t>
      </w:r>
      <w:r>
        <w:rPr>
          <w:rFonts w:asciiTheme="minorEastAsia" w:hAnsiTheme="minorEastAsia" w:eastAsiaTheme="minorEastAsia"/>
          <w:kern w:val="0"/>
          <w:sz w:val="24"/>
        </w:rPr>
        <w:t>指导工作的各个环节、论文答辩和监督等方面的要求。</w:t>
      </w:r>
      <w:r>
        <w:rPr>
          <w:rFonts w:hint="eastAsia" w:asciiTheme="minorEastAsia" w:hAnsiTheme="minorEastAsia" w:eastAsiaTheme="minorEastAsia"/>
          <w:kern w:val="0"/>
          <w:sz w:val="24"/>
        </w:rPr>
        <w:t>学校重视毕业论文（设计）的质量，对学生毕业论文（设计）进行全过程监管；</w:t>
      </w:r>
      <w:r>
        <w:rPr>
          <w:rFonts w:asciiTheme="minorEastAsia" w:hAnsiTheme="minorEastAsia" w:eastAsiaTheme="minorEastAsia"/>
          <w:kern w:val="0"/>
          <w:sz w:val="24"/>
        </w:rPr>
        <w:t>严抓答辩等各个环节，严格进行论文查重，规范了毕业论文（设计）管理。学校倡导学生毕业论文（设计）与教师科研项目相结合，鼓励学生从实践、实训、实习中选题，提高学生实践与理论相结合能力，激励学生高质量完成毕业论文（设计）。</w:t>
      </w:r>
      <w:r>
        <w:rPr>
          <w:rFonts w:hint="eastAsia" w:asciiTheme="minorEastAsia" w:hAnsiTheme="minorEastAsia" w:eastAsiaTheme="minorEastAsia"/>
          <w:kern w:val="0"/>
          <w:sz w:val="24"/>
        </w:rPr>
        <w:t>2020届共有201篇本科毕业论文（设计）被评为优秀毕业论文（设计），56名教师被评为优秀毕业论文（设计）指导教师。</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疫情防控期间，学校2020届本科毕业论文（设计）工作有序开展，根据《赤峰学院 2019-2020 学年第二学期开学前后防控新冠肺炎疫情应急预案》和《赤峰学院本专科学生返校前教学工作方案》的精神和要求，按照“停课不停教、停课不停学”的原则，在疫情防控期间做到“标准不降低、质量不打折、进度不延迟”，确保按照原工作计划完成各阶段工作，即4月上旬完成中期检查；5月上旬论文定稿，完成论文相似性检测；5月底前完成答辩工作及成绩评定和录入等工作。</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在疫情防控期间，原在校内外开展的毕业论文（设计）工作，全部调整为网络在线指导方式的毕业论文（设计）工作，需要在线完成选题、开题、指导等各环节工作。对于无法在线完成毕业论文（设计）需要更换题目或指导教师的，由指导教师和学生向学生所在学院毕业论文（设计）工作领导小组提出申请，二级学院根据情况及时进行调整，并由毕业论文（设计）工作领导小组批准后实施。学校督促指导教师按照工作进度安排，特别关注农村牧区网络环境较差区域学生的情况，通过远程方式指导和督促学生进行文献查阅、外文翻译、开题报告和论文撰写等工作，保质保量完成了毕业论文（设计）工作。</w:t>
      </w:r>
    </w:p>
    <w:p>
      <w:pPr>
        <w:numPr>
          <w:ilvl w:val="0"/>
          <w:numId w:val="4"/>
        </w:numPr>
        <w:jc w:val="left"/>
        <w:rPr>
          <w:rFonts w:ascii="Times New Roman" w:hAnsi="Times New Roman" w:eastAsia="黑体"/>
          <w:kern w:val="0"/>
          <w:sz w:val="28"/>
          <w:szCs w:val="28"/>
        </w:rPr>
      </w:pPr>
      <w:r>
        <w:rPr>
          <w:rFonts w:ascii="Times New Roman" w:hAnsi="黑体" w:eastAsia="黑体"/>
          <w:kern w:val="0"/>
          <w:sz w:val="28"/>
          <w:szCs w:val="28"/>
        </w:rPr>
        <w:t>国际合作教育</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2019年，学校继续推进国际合作办学，不断拓宽与世界各个国家和地区的教育合作。先后与蒙古国国立大学、蒙古国国立医科大学、蒙古国教育大学、英国拉纳克郡新学院、英国亚伯大学、英国威尔士三一圣大卫大学、韩国水原大学、菲律宾国家大学、加拿大约克大学等国外高校进行了交流洽谈，签订了合作协议或达成合作意向。派出师生出国访学交流共63人次，派出教师赴美国、英国、日本、韩国、蒙古国等国境外交流学习31人次，派出学生赴美国、英国、韩国交流学习32人次。在海外引智工作中，学校始终强化外教的聘前考核和聘后管理，依法聘用外籍教师，目前在校外教共计4人，分别来自加拿大、波黑、日本。</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坚持贯彻“围绕中心、服务大局，以我为主、兼容并蓄，提升水平、内涵发展，平等合作、保障安全”的工作原则，努力开拓留学生教育事业。现有来自巴基斯坦、印度尼西亚、南非、刚果等国家的留学生145人。2019年学校与英国科特布里奇学院（拉纳克郡新学院）开展的口腔护理专业合作办学项目以及与国家留学基金委合作开展的国际本科学术互认课程（ISEC）项目</w:t>
      </w:r>
      <w:r>
        <w:rPr>
          <w:rFonts w:hint="eastAsia" w:asciiTheme="minorEastAsia" w:hAnsiTheme="minorEastAsia" w:eastAsiaTheme="minorEastAsia"/>
          <w:kern w:val="0"/>
          <w:sz w:val="24"/>
          <w:lang w:val="en-US" w:eastAsia="zh-CN"/>
        </w:rPr>
        <w:t>持续</w:t>
      </w:r>
      <w:r>
        <w:rPr>
          <w:rFonts w:hint="eastAsia" w:asciiTheme="minorEastAsia" w:hAnsiTheme="minorEastAsia" w:eastAsiaTheme="minorEastAsia"/>
          <w:kern w:val="0"/>
          <w:sz w:val="24"/>
        </w:rPr>
        <w:t>进行。中外合作办学取得了一定的社会效益和经济效益，为引进国外优质教育资源，发挥我校特色专业优势，培养具有国际视野和竞争力的高素质人才发挥了较大的作用。</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学校加强与国家留学基金委项目办的沟通与合作，在稳步推进ISEC项目专业的基础上，做好ISEC项目专业的建设工作。2019年选派教师参加ISEC项目培训共52人次，新增19名ISEC资质教师，新增ISEC项目学生300余人。</w:t>
      </w:r>
    </w:p>
    <w:p>
      <w:pPr>
        <w:numPr>
          <w:ilvl w:val="0"/>
          <w:numId w:val="4"/>
        </w:numPr>
        <w:jc w:val="left"/>
        <w:rPr>
          <w:rFonts w:ascii="Times New Roman" w:hAnsi="Times New Roman" w:eastAsia="黑体"/>
          <w:kern w:val="0"/>
          <w:sz w:val="28"/>
          <w:szCs w:val="28"/>
        </w:rPr>
      </w:pPr>
      <w:r>
        <w:rPr>
          <w:rFonts w:ascii="Times New Roman" w:hAnsi="黑体" w:eastAsia="黑体"/>
          <w:kern w:val="0"/>
          <w:sz w:val="28"/>
          <w:szCs w:val="28"/>
        </w:rPr>
        <w:t>学生创新创业教育</w:t>
      </w:r>
    </w:p>
    <w:p>
      <w:pPr>
        <w:spacing w:line="400" w:lineRule="exact"/>
        <w:ind w:firstLine="480" w:firstLine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学校不断深化创新创业教育改革，营造创新创业氛围，厚植创新创业文化，将创新创业教育融入人才培养全过程。在创新实践小学期面向全体学生开设《创新思维训练与创造力开发》、《创业基础与实务》两门课程，同时通过大创项目立项评选以及大学生创业孵化基地实践平台的载体作用，不断加强大学生创新创业教育。结合校院两极管理改革的实施，进一步修订完善了《赤峰学院大学生实践创新创业教育学分管理办法(试行)》、《赤峰学院关于二级学院就业创业工作经费的使用规定》、《赤峰学院就业创业工作年度考核实施方案》，新出台了《赤峰学院大学生实践创新创业教育学分认定程序》，对创新创业教育提出新要求，进而强化了学生创新创业教育。</w:t>
      </w:r>
    </w:p>
    <w:p>
      <w:pPr>
        <w:spacing w:line="400" w:lineRule="exact"/>
        <w:ind w:firstLine="480" w:firstLineChars="200"/>
        <w:rPr>
          <w:rFonts w:hint="eastAsia" w:asciiTheme="minorEastAsia" w:hAnsiTheme="minorEastAsia" w:eastAsiaTheme="minorEastAsia"/>
          <w:kern w:val="0"/>
          <w:sz w:val="24"/>
        </w:rPr>
      </w:pPr>
      <w:r>
        <w:rPr>
          <w:rFonts w:hint="eastAsia" w:asciiTheme="minorEastAsia" w:hAnsiTheme="minorEastAsia" w:eastAsiaTheme="minorEastAsia"/>
          <w:kern w:val="0"/>
          <w:sz w:val="24"/>
          <w:lang w:val="en-US" w:eastAsia="zh-CN"/>
        </w:rPr>
        <w:t>2019-2020</w:t>
      </w:r>
      <w:r>
        <w:rPr>
          <w:rFonts w:hint="eastAsia" w:asciiTheme="minorEastAsia" w:hAnsiTheme="minorEastAsia" w:eastAsiaTheme="minorEastAsia"/>
          <w:kern w:val="0"/>
          <w:sz w:val="24"/>
        </w:rPr>
        <w:t>学年，进一步加强师资队伍建设，新增自治区创新创业骨干教师4人，创新创业讲师39人，SYB创业讲师1人。同时组织二级学院开展2020届毕业生实践创新创业活动学分认定工作，完成3000余名毕业生的学分认定工作，完成2018年度60个“大学生创新创业训练计划项目”的结项工作及2020年度65个大创项目的立项工作，参与大创项目的学生近600人。</w:t>
      </w:r>
      <w:r>
        <w:rPr>
          <w:rFonts w:hint="eastAsia" w:asciiTheme="minorEastAsia" w:hAnsiTheme="minorEastAsia" w:eastAsiaTheme="minorEastAsia"/>
          <w:kern w:val="0"/>
          <w:sz w:val="24"/>
          <w:lang w:val="en-US" w:eastAsia="zh-CN"/>
        </w:rPr>
        <w:t>新冠肺炎</w:t>
      </w:r>
      <w:r>
        <w:rPr>
          <w:rFonts w:hint="eastAsia" w:asciiTheme="minorEastAsia" w:hAnsiTheme="minorEastAsia" w:eastAsiaTheme="minorEastAsia"/>
          <w:kern w:val="0"/>
          <w:sz w:val="24"/>
        </w:rPr>
        <w:t>疫情发生以来依托孵化基地实践平台，通过线上形式，以“互联网+创业大赛”为引领，开展了 “挑战归来话成长”大学生创业大赛经验分享会、“创新创业·开启属于你的自媒体”创业沙龙、创新创业训练营、创业大赛项目辅导等丰富多彩的系列活动38场次，参与学生近4000人次。其中大学生创新创业大赛暨第六届中国国际“互联网+”大学生创新创业大赛校赛，学生参与项目174个，25个项目进入决赛，其中《液态地膜——白色污染的治理专家》获得自治区赛区“互联网+创新创业大赛”银奖。本学年大学生创业孵化基地在孵项目15个，直接带动大学生就业275人。这些</w:t>
      </w:r>
      <w:r>
        <w:rPr>
          <w:rFonts w:hint="eastAsia" w:asciiTheme="minorEastAsia" w:hAnsiTheme="minorEastAsia" w:eastAsiaTheme="minorEastAsia"/>
          <w:kern w:val="0"/>
          <w:sz w:val="24"/>
          <w:lang w:val="en-US" w:eastAsia="zh-CN"/>
        </w:rPr>
        <w:t>创新创业</w:t>
      </w:r>
      <w:r>
        <w:rPr>
          <w:rFonts w:hint="eastAsia" w:asciiTheme="minorEastAsia" w:hAnsiTheme="minorEastAsia" w:eastAsiaTheme="minorEastAsia"/>
          <w:kern w:val="0"/>
          <w:sz w:val="24"/>
        </w:rPr>
        <w:t>教育活动的实施和开展营造了良好的创新创业氛围，有效提升了大学生创新创业意识和创新创业能力。</w:t>
      </w:r>
    </w:p>
    <w:p>
      <w:pPr>
        <w:numPr>
          <w:ilvl w:val="0"/>
          <w:numId w:val="1"/>
        </w:numPr>
        <w:ind w:firstLine="600" w:firstLineChars="200"/>
        <w:jc w:val="left"/>
        <w:rPr>
          <w:rFonts w:ascii="Times New Roman" w:hAnsi="Times New Roman" w:eastAsia="黑体"/>
          <w:kern w:val="0"/>
          <w:sz w:val="30"/>
          <w:szCs w:val="30"/>
        </w:rPr>
      </w:pPr>
      <w:r>
        <w:rPr>
          <w:rFonts w:hint="eastAsia" w:ascii="Times New Roman" w:hAnsi="Times New Roman" w:eastAsia="黑体"/>
          <w:kern w:val="0"/>
          <w:sz w:val="30"/>
          <w:szCs w:val="30"/>
        </w:rPr>
        <w:t>专业培养能力</w:t>
      </w:r>
    </w:p>
    <w:p>
      <w:pPr>
        <w:ind w:firstLine="560" w:firstLineChars="200"/>
        <w:jc w:val="left"/>
        <w:rPr>
          <w:rFonts w:ascii="Times New Roman" w:hAnsi="Times New Roman" w:eastAsia="黑体"/>
          <w:kern w:val="0"/>
          <w:sz w:val="28"/>
          <w:szCs w:val="28"/>
        </w:rPr>
      </w:pPr>
      <w:r>
        <w:rPr>
          <w:rFonts w:hint="eastAsia" w:ascii="Times New Roman" w:hAnsi="黑体" w:eastAsia="黑体"/>
          <w:kern w:val="0"/>
          <w:sz w:val="28"/>
          <w:szCs w:val="28"/>
        </w:rPr>
        <w:t>（一）</w:t>
      </w:r>
      <w:r>
        <w:rPr>
          <w:rFonts w:ascii="Times New Roman" w:hAnsi="黑体" w:eastAsia="黑体"/>
          <w:kern w:val="0"/>
          <w:sz w:val="28"/>
          <w:szCs w:val="28"/>
        </w:rPr>
        <w:t>培养方案</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根据《中国教育现代化2035》和《国家教育事业发展“十三五”规划》等政策精神，按照《赤峰学院“十三五”改革与发展规划》、《赤峰学院转型发展试点工作实施方案》和《赤峰学院本科教学工作审核评估整改工作方案》，结合《赤峰学院关于制订2017版本科人才培养方案的原则意见》，为创新人才培养模式，继续深化学分制改革，提高教育教学水平和人才培养质量，主动适应区域经济和社会发展需要，学校在广泛征求各方面尤其是行业企业和用人单位意见的基础上，认真组织全校教学单位对2017版人才培养方案进行了全面系统的修订，</w:t>
      </w:r>
      <w:r>
        <w:rPr>
          <w:rFonts w:hint="eastAsia" w:asciiTheme="minorEastAsia" w:hAnsiTheme="minorEastAsia" w:eastAsiaTheme="minorEastAsia"/>
          <w:kern w:val="0"/>
          <w:sz w:val="24"/>
          <w:lang w:val="en-US" w:eastAsia="zh-CN"/>
        </w:rPr>
        <w:t>面向</w:t>
      </w:r>
      <w:r>
        <w:rPr>
          <w:rFonts w:hint="eastAsia" w:asciiTheme="minorEastAsia" w:hAnsiTheme="minorEastAsia" w:eastAsiaTheme="minorEastAsia"/>
          <w:kern w:val="0"/>
          <w:sz w:val="24"/>
        </w:rPr>
        <w:t>2019级学生全面实施，对应用型人才培养起到了纲领性指导作用，有效促进了学校的转型发展。</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2019版本科人才培养方案围绕区域经济社会发展需要，全面贯彻党的教育方针，落实国家高等教育改革战略部署，深入推进转型发展，落实“以评促建、以评促改、以评促管、评建结合、重在建设”方针，坚持内涵建设，改革教育教学模式，优化结构，注重创新，以培养“具有扎实理论基础、鲜明应用导向、广泛社会适应能力、德智体美劳全面发展的应用型人才”为培养目标，贯彻落实立德树人的根本任务，注重学生思想政治教育，把培育和践行社会主义核心价值观融入人才培养全过程。</w:t>
      </w:r>
    </w:p>
    <w:p>
      <w:pPr>
        <w:ind w:firstLine="560" w:firstLineChars="200"/>
        <w:jc w:val="left"/>
        <w:rPr>
          <w:rFonts w:ascii="Times New Roman" w:hAnsi="黑体" w:eastAsia="黑体"/>
          <w:kern w:val="0"/>
          <w:sz w:val="28"/>
          <w:szCs w:val="28"/>
        </w:rPr>
      </w:pPr>
      <w:r>
        <w:rPr>
          <w:rFonts w:hint="eastAsia" w:ascii="Times New Roman" w:hAnsi="黑体" w:eastAsia="黑体"/>
          <w:kern w:val="0"/>
          <w:sz w:val="28"/>
          <w:szCs w:val="28"/>
        </w:rPr>
        <w:t>（二）专任教师队伍数量与结构</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现有专任教师1036名，其中具有博士学位的210名，具有硕士学位的492名，“双师型”教师213名，具有行业背景的222名，具有工程背景的2名，外聘教师34名，教师总数1053名，生师比为13.79%。各分专业生师比最高的为护理学专业，达到129.17%，其次为口腔医学，为64.4%。</w:t>
      </w:r>
    </w:p>
    <w:p>
      <w:pPr>
        <w:spacing w:line="400" w:lineRule="exact"/>
        <w:ind w:left="420" w:leftChars="200"/>
        <w:rPr>
          <w:rFonts w:asciiTheme="minorEastAsia" w:hAnsiTheme="minorEastAsia" w:eastAsiaTheme="minorEastAsia"/>
          <w:kern w:val="0"/>
          <w:sz w:val="24"/>
        </w:rPr>
      </w:pPr>
      <w:r>
        <w:rPr>
          <w:rFonts w:hint="eastAsia" w:ascii="Times New Roman" w:hAnsi="黑体" w:eastAsia="黑体"/>
          <w:kern w:val="0"/>
          <w:sz w:val="28"/>
          <w:szCs w:val="28"/>
        </w:rPr>
        <w:t>（三）教学经费投入</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2019年，本科专项教学经费7243.36万元，其中实践教学支出2436.72万元，占比最大，为33.64%，其次为教师培训进修专项经费1309.01万元，占比为18.07%；本科实验经费625.69万元，生均本科实验经费497.80元，本科实习经费1811.03万元，生均本科实习经费1440.87元。本科</w:t>
      </w:r>
      <w:r>
        <w:rPr>
          <w:rFonts w:asciiTheme="minorEastAsia" w:hAnsiTheme="minorEastAsia" w:eastAsiaTheme="minorEastAsia"/>
          <w:kern w:val="0"/>
          <w:sz w:val="24"/>
        </w:rPr>
        <w:t>教学日常运行支出</w:t>
      </w:r>
      <w:r>
        <w:rPr>
          <w:rFonts w:hint="eastAsia" w:asciiTheme="minorEastAsia" w:hAnsiTheme="minorEastAsia" w:eastAsiaTheme="minorEastAsia"/>
          <w:kern w:val="0"/>
          <w:sz w:val="24"/>
        </w:rPr>
        <w:t>为</w:t>
      </w:r>
      <w:r>
        <w:rPr>
          <w:rFonts w:asciiTheme="minorEastAsia" w:hAnsiTheme="minorEastAsia" w:eastAsiaTheme="minorEastAsia"/>
          <w:kern w:val="0"/>
          <w:sz w:val="24"/>
        </w:rPr>
        <w:t>4131.23万元</w:t>
      </w:r>
      <w:r>
        <w:rPr>
          <w:rFonts w:hint="eastAsia" w:asciiTheme="minorEastAsia" w:hAnsiTheme="minorEastAsia" w:eastAsiaTheme="minorEastAsia"/>
          <w:kern w:val="0"/>
          <w:sz w:val="24"/>
        </w:rPr>
        <w:t>，生均本科教学日常运行支出3286.84元。</w:t>
      </w:r>
    </w:p>
    <w:p>
      <w:pPr>
        <w:spacing w:line="400" w:lineRule="exact"/>
        <w:ind w:left="420" w:leftChars="200"/>
        <w:rPr>
          <w:rFonts w:ascii="Times New Roman" w:hAnsi="黑体" w:eastAsia="黑体"/>
          <w:kern w:val="0"/>
          <w:sz w:val="28"/>
          <w:szCs w:val="28"/>
        </w:rPr>
      </w:pPr>
      <w:r>
        <w:rPr>
          <w:rFonts w:hint="eastAsia" w:ascii="Times New Roman" w:hAnsi="黑体" w:eastAsia="黑体"/>
          <w:kern w:val="0"/>
          <w:sz w:val="28"/>
          <w:szCs w:val="28"/>
        </w:rPr>
        <w:t>（四）实践教学及实习实训基地</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持续实施实践创新学期，对实践创新学期任课教师资质及教学内容进行了全面的督查，规范了实践创新创业教学管理，提高了实践创新学期教学质量；加强实验室建设，改进实验室管理模式。出台并实施了《赤峰学院实验教学管理办法（修订）》《赤峰学院实验室危险化学品安全管理办法（试行）》《赤峰学院实验室开放管理办法（试行）》等管理制度，不断提高实验室管理水平。现有实习、实训基地1050个，3个自治区级重点实验室，2个自治区级实验教学示范中心和 3 个校级实验教学示范中心，教学科研仪器设备总值达到20034.78万元，生均教学科研仪器设备值13801.48元，实践教学所占总学分比例最高可达40.91%，选修课所占总学分比例最高可达18.75%。</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学校组织</w:t>
      </w:r>
      <w:r>
        <w:rPr>
          <w:rFonts w:asciiTheme="minorEastAsia" w:hAnsiTheme="minorEastAsia" w:eastAsiaTheme="minorEastAsia"/>
          <w:kern w:val="0"/>
          <w:sz w:val="24"/>
        </w:rPr>
        <w:t>完成了</w:t>
      </w:r>
      <w:r>
        <w:rPr>
          <w:rFonts w:hint="eastAsia" w:asciiTheme="minorEastAsia" w:hAnsiTheme="minorEastAsia" w:eastAsiaTheme="minorEastAsia"/>
          <w:kern w:val="0"/>
          <w:sz w:val="24"/>
        </w:rPr>
        <w:t>各类实践教学相关任务，包括</w:t>
      </w:r>
      <w:r>
        <w:rPr>
          <w:rFonts w:asciiTheme="minorEastAsia" w:hAnsiTheme="minorEastAsia" w:eastAsiaTheme="minorEastAsia"/>
          <w:kern w:val="0"/>
          <w:sz w:val="24"/>
        </w:rPr>
        <w:t>2019年度高等学校实验室信息统计数据采集和上报工作、年度实验耗材审核工作、普通话水平培训和测试工作、实习实训教学组织工作、毕业生实践创新教育学分审核认定工作</w:t>
      </w:r>
      <w:r>
        <w:rPr>
          <w:rFonts w:hint="eastAsia" w:asciiTheme="minorEastAsia" w:hAnsiTheme="minorEastAsia" w:eastAsiaTheme="minorEastAsia"/>
          <w:kern w:val="0"/>
          <w:sz w:val="24"/>
        </w:rPr>
        <w:t>、</w:t>
      </w:r>
      <w:r>
        <w:rPr>
          <w:rFonts w:asciiTheme="minorEastAsia" w:hAnsiTheme="minorEastAsia" w:eastAsiaTheme="minorEastAsia"/>
          <w:kern w:val="0"/>
          <w:sz w:val="24"/>
        </w:rPr>
        <w:t>2019年春秋两季高校教师资格认定工作</w:t>
      </w:r>
      <w:r>
        <w:rPr>
          <w:rFonts w:hint="eastAsia" w:asciiTheme="minorEastAsia" w:hAnsiTheme="minorEastAsia" w:eastAsiaTheme="minorEastAsia"/>
          <w:kern w:val="0"/>
          <w:sz w:val="24"/>
        </w:rPr>
        <w:t>、</w:t>
      </w:r>
      <w:r>
        <w:rPr>
          <w:rFonts w:asciiTheme="minorEastAsia" w:hAnsiTheme="minorEastAsia" w:eastAsiaTheme="minorEastAsia"/>
          <w:kern w:val="0"/>
          <w:sz w:val="24"/>
        </w:rPr>
        <w:t>2019届应届毕业生教师资格认定工作</w:t>
      </w:r>
      <w:r>
        <w:rPr>
          <w:rFonts w:hint="eastAsia" w:asciiTheme="minorEastAsia" w:hAnsiTheme="minorEastAsia" w:eastAsiaTheme="minorEastAsia"/>
          <w:kern w:val="0"/>
          <w:sz w:val="24"/>
        </w:rPr>
        <w:t>、</w:t>
      </w:r>
      <w:r>
        <w:rPr>
          <w:rFonts w:asciiTheme="minorEastAsia" w:hAnsiTheme="minorEastAsia" w:eastAsiaTheme="minorEastAsia"/>
          <w:kern w:val="0"/>
          <w:sz w:val="24"/>
        </w:rPr>
        <w:t>2019年内蒙古自治区（东部区）县域普通话普及情况调查培训会及“国培计划（2019）”内蒙古自治区少数民族双语教师普通话培训工作。</w:t>
      </w:r>
    </w:p>
    <w:p>
      <w:pPr>
        <w:spacing w:line="400" w:lineRule="exact"/>
        <w:ind w:firstLine="560" w:firstLineChars="200"/>
        <w:rPr>
          <w:rFonts w:ascii="Times New Roman" w:hAnsi="Times New Roman" w:eastAsia="黑体"/>
          <w:kern w:val="0"/>
          <w:sz w:val="28"/>
          <w:szCs w:val="28"/>
        </w:rPr>
      </w:pPr>
      <w:r>
        <w:rPr>
          <w:rFonts w:hint="eastAsia" w:ascii="Times New Roman" w:hAnsi="黑体" w:eastAsia="黑体"/>
          <w:kern w:val="0"/>
          <w:sz w:val="28"/>
          <w:szCs w:val="28"/>
        </w:rPr>
        <w:t>（五）</w:t>
      </w:r>
      <w:r>
        <w:rPr>
          <w:rFonts w:ascii="Times New Roman" w:hAnsi="黑体" w:eastAsia="黑体"/>
          <w:kern w:val="0"/>
          <w:sz w:val="28"/>
          <w:szCs w:val="28"/>
        </w:rPr>
        <w:t>课程建设</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依据《赤峰学院一流本科专业建设方案》、《赤峰学院课程建设与改革实施办法》、《赤峰学院课程思政工作实施方案》、《赤峰学院在线开放课程建设实施方案》等文件，认真组织申报2019年国家级、自治区级一流本科课程，评审推荐了《现代蒙古语》等15门自治区级一流本科课程和5门国家级一流本科课程；积极组织申报2019年自治区级在线开放课程，组织申报的《内蒙古民间故事》等6门课程获批自治区级在线开放课程立项建设，并投入建设资金90万元；出台制订了《赤峰学院应用型示范课程项目建设方案》和《赤峰学院应用型示范课程项目评估方案》，以教学改革立项的形式启动2019年应用型示范课程建设项目申报工作，确立了《现代蒙古语》等80门校级应用型示范课建设项目，拟投入建设资金80万元；同时积极推进核心课程网络教学资源全覆盖，2019年通过“泛雅”网络教学平台建设课程达600余门次，尔雅通识教育课选课人数达2千余人次，拟将2018年建设成功的4门在线开放课程投入到通识教育选修课中，进一步加强网络教学资源建设。</w:t>
      </w:r>
    </w:p>
    <w:p>
      <w:pPr>
        <w:spacing w:line="400" w:lineRule="exact"/>
        <w:ind w:firstLine="560" w:firstLineChars="200"/>
        <w:rPr>
          <w:rFonts w:ascii="Times New Roman" w:hAnsi="黑体" w:eastAsia="黑体"/>
          <w:kern w:val="0"/>
          <w:sz w:val="28"/>
          <w:szCs w:val="28"/>
        </w:rPr>
      </w:pPr>
      <w:r>
        <w:rPr>
          <w:rFonts w:hint="eastAsia" w:ascii="Times New Roman" w:hAnsi="黑体" w:eastAsia="黑体"/>
          <w:kern w:val="0"/>
          <w:sz w:val="28"/>
          <w:szCs w:val="28"/>
        </w:rPr>
        <w:t>（六）教授授课</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2019-2020学年，学校本科课程总门次数为5309，教授讲授本科课程门次数261，所占比例为4.92%；各分专业中，教授讲授本科课程门次数最多的是历史学，占比为33.33%，其次为中国少数民族语言文学(蒙汉双语)，占比为28.21%。</w:t>
      </w:r>
    </w:p>
    <w:p>
      <w:pPr>
        <w:spacing w:line="400" w:lineRule="exact"/>
        <w:ind w:firstLine="560" w:firstLineChars="200"/>
        <w:rPr>
          <w:rFonts w:ascii="Times New Roman" w:hAnsi="黑体" w:eastAsia="黑体"/>
          <w:kern w:val="0"/>
          <w:sz w:val="28"/>
          <w:szCs w:val="28"/>
          <w:highlight w:val="none"/>
        </w:rPr>
      </w:pPr>
      <w:r>
        <w:rPr>
          <w:rFonts w:hint="eastAsia" w:ascii="Times New Roman" w:hAnsi="黑体" w:eastAsia="黑体"/>
          <w:kern w:val="0"/>
          <w:sz w:val="28"/>
          <w:szCs w:val="28"/>
        </w:rPr>
        <w:t>（七</w:t>
      </w:r>
      <w:r>
        <w:rPr>
          <w:rFonts w:hint="eastAsia" w:ascii="Times New Roman" w:hAnsi="黑体" w:eastAsia="黑体"/>
          <w:kern w:val="0"/>
          <w:sz w:val="28"/>
          <w:szCs w:val="28"/>
          <w:highlight w:val="none"/>
        </w:rPr>
        <w:t>）创新创业教育及学风管理概况</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w:t>
      </w:r>
      <w:r>
        <w:rPr>
          <w:rFonts w:hint="eastAsia" w:asciiTheme="minorEastAsia" w:hAnsiTheme="minorEastAsia" w:eastAsiaTheme="minorEastAsia"/>
          <w:kern w:val="0"/>
          <w:sz w:val="24"/>
          <w:lang w:val="en-US" w:eastAsia="zh-CN"/>
        </w:rPr>
        <w:t>积极</w:t>
      </w:r>
      <w:r>
        <w:rPr>
          <w:rFonts w:asciiTheme="minorEastAsia" w:hAnsiTheme="minorEastAsia" w:eastAsiaTheme="minorEastAsia"/>
          <w:kern w:val="0"/>
          <w:sz w:val="24"/>
        </w:rPr>
        <w:t>引导毕业生充分了解国家就业创业政策、树立正确择业观念，积极就业，开展了“大学生职业生涯教育第一课、”“求职简历设计大赛”、“职业生涯规划大赛”、政策解读、经验交流等就业创业指导和服务活动20余场，聘请校内外专家共举办培训和辅导8场次，各类就业指导类讲座百余次，</w:t>
      </w:r>
      <w:r>
        <w:rPr>
          <w:rFonts w:hint="eastAsia" w:asciiTheme="minorEastAsia" w:hAnsiTheme="minorEastAsia" w:eastAsiaTheme="minorEastAsia"/>
          <w:kern w:val="0"/>
          <w:sz w:val="24"/>
        </w:rPr>
        <w:t>举办校院两级招聘会、宣讲会等活动59场次，吸纳企业950余家，提供就业岗位37000余个</w:t>
      </w:r>
      <w:r>
        <w:rPr>
          <w:rFonts w:hint="eastAsia" w:asciiTheme="minorEastAsia" w:hAnsiTheme="minorEastAsia" w:eastAsiaTheme="minorEastAsia"/>
          <w:kern w:val="0"/>
          <w:sz w:val="24"/>
          <w:lang w:eastAsia="zh-CN"/>
        </w:rPr>
        <w:t>，</w:t>
      </w:r>
      <w:r>
        <w:rPr>
          <w:rFonts w:asciiTheme="minorEastAsia" w:hAnsiTheme="minorEastAsia" w:eastAsiaTheme="minorEastAsia"/>
          <w:kern w:val="0"/>
          <w:sz w:val="24"/>
        </w:rPr>
        <w:t>营造了良好就业创业氛围，积极推进了就业创业相关工作。</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依据</w:t>
      </w:r>
      <w:r>
        <w:rPr>
          <w:rFonts w:asciiTheme="minorEastAsia" w:hAnsiTheme="minorEastAsia" w:eastAsiaTheme="minorEastAsia"/>
          <w:kern w:val="0"/>
          <w:sz w:val="24"/>
        </w:rPr>
        <w:t>《赤峰学院教师教学工作规程》《赤峰学院教学事故认定与处理办法》《赤峰学院课程考核及重修管理办法》《赤峰学院公共体育课程管理办法》《赤峰学院教材管理规定》《赤峰学院教室使用及管理办法（修订）》等多个教学质量监控文件</w:t>
      </w:r>
      <w:r>
        <w:rPr>
          <w:rFonts w:hint="eastAsia" w:asciiTheme="minorEastAsia" w:hAnsiTheme="minorEastAsia" w:eastAsiaTheme="minorEastAsia"/>
          <w:kern w:val="0"/>
          <w:sz w:val="24"/>
        </w:rPr>
        <w:t>，</w:t>
      </w:r>
      <w:r>
        <w:rPr>
          <w:rFonts w:asciiTheme="minorEastAsia" w:hAnsiTheme="minorEastAsia" w:eastAsiaTheme="minorEastAsia"/>
          <w:kern w:val="0"/>
          <w:sz w:val="24"/>
        </w:rPr>
        <w:t>进一步加强教学纪律违纪及教学事故认定处理。</w:t>
      </w:r>
      <w:r>
        <w:rPr>
          <w:rFonts w:hint="eastAsia" w:asciiTheme="minorEastAsia" w:hAnsiTheme="minorEastAsia" w:eastAsiaTheme="minorEastAsia"/>
          <w:kern w:val="0"/>
          <w:sz w:val="24"/>
        </w:rPr>
        <w:t>2019</w:t>
      </w:r>
      <w:r>
        <w:rPr>
          <w:rFonts w:asciiTheme="minorEastAsia" w:hAnsiTheme="minorEastAsia" w:eastAsiaTheme="minorEastAsia"/>
          <w:kern w:val="0"/>
          <w:sz w:val="24"/>
        </w:rPr>
        <w:t>年度，通报学生教学纪律违纪242人次、学生考试违纪作弊通报0人次、教师教学事故通报2人。</w:t>
      </w:r>
    </w:p>
    <w:p>
      <w:pPr>
        <w:spacing w:line="400" w:lineRule="exact"/>
        <w:ind w:firstLine="600" w:firstLineChars="200"/>
        <w:rPr>
          <w:rFonts w:ascii="Times New Roman" w:hAnsi="Times New Roman" w:eastAsia="黑体"/>
          <w:kern w:val="0"/>
          <w:sz w:val="30"/>
          <w:szCs w:val="30"/>
        </w:rPr>
      </w:pPr>
      <w:r>
        <w:rPr>
          <w:rFonts w:hint="eastAsia" w:ascii="Times New Roman" w:hAnsi="黑体" w:eastAsia="黑体"/>
          <w:kern w:val="0"/>
          <w:sz w:val="30"/>
          <w:szCs w:val="30"/>
        </w:rPr>
        <w:t>五、</w:t>
      </w:r>
      <w:r>
        <w:rPr>
          <w:rFonts w:ascii="Times New Roman" w:hAnsi="黑体" w:eastAsia="黑体"/>
          <w:kern w:val="0"/>
          <w:sz w:val="30"/>
          <w:szCs w:val="30"/>
        </w:rPr>
        <w:t>质量保障体系</w:t>
      </w:r>
    </w:p>
    <w:p>
      <w:pPr>
        <w:numPr>
          <w:ilvl w:val="0"/>
          <w:numId w:val="5"/>
        </w:numPr>
        <w:jc w:val="left"/>
        <w:rPr>
          <w:rFonts w:ascii="Times New Roman" w:hAnsi="Times New Roman" w:eastAsia="黑体"/>
          <w:kern w:val="0"/>
          <w:sz w:val="28"/>
          <w:szCs w:val="28"/>
        </w:rPr>
      </w:pPr>
      <w:r>
        <w:rPr>
          <w:rFonts w:ascii="Times New Roman" w:hAnsi="黑体" w:eastAsia="黑体"/>
          <w:kern w:val="0"/>
          <w:sz w:val="28"/>
          <w:szCs w:val="28"/>
        </w:rPr>
        <w:t>人才培养中心地位</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学校坚持以学生为本、人才培养为中心的办学理念，</w:t>
      </w:r>
      <w:r>
        <w:rPr>
          <w:rFonts w:asciiTheme="minorEastAsia" w:hAnsiTheme="minorEastAsia" w:eastAsiaTheme="minorEastAsia"/>
          <w:kern w:val="0"/>
          <w:sz w:val="24"/>
        </w:rPr>
        <w:t>深入挖掘育人要素，不断完善育人机制，持续优化评价体系，有效强化保障能力，充分发挥课程、科研、实践、文化、网络、心理、管理、服务、资助、组织等方面工作的育人功能，努力实现全过程育人</w:t>
      </w:r>
      <w:r>
        <w:rPr>
          <w:rFonts w:hint="eastAsia" w:asciiTheme="minorEastAsia" w:hAnsiTheme="minorEastAsia" w:eastAsiaTheme="minorEastAsia"/>
          <w:kern w:val="0"/>
          <w:sz w:val="24"/>
          <w:lang w:eastAsia="zh-CN"/>
        </w:rPr>
        <w:t>、</w:t>
      </w:r>
      <w:r>
        <w:rPr>
          <w:rFonts w:asciiTheme="minorEastAsia" w:hAnsiTheme="minorEastAsia" w:eastAsiaTheme="minorEastAsia"/>
          <w:kern w:val="0"/>
          <w:sz w:val="24"/>
        </w:rPr>
        <w:t>全方位育人</w:t>
      </w:r>
      <w:r>
        <w:rPr>
          <w:rFonts w:hint="eastAsia" w:asciiTheme="minorEastAsia" w:hAnsiTheme="minorEastAsia" w:eastAsiaTheme="minorEastAsia"/>
          <w:kern w:val="0"/>
          <w:sz w:val="24"/>
        </w:rPr>
        <w:t>和全员育人</w:t>
      </w:r>
      <w:r>
        <w:rPr>
          <w:rFonts w:asciiTheme="minorEastAsia" w:hAnsiTheme="minorEastAsia" w:eastAsiaTheme="minorEastAsia"/>
          <w:kern w:val="0"/>
          <w:sz w:val="24"/>
        </w:rPr>
        <w:t>。</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学校以满足人才培养需要为出发点</w:t>
      </w:r>
      <w:r>
        <w:rPr>
          <w:rFonts w:hint="eastAsia" w:asciiTheme="minorEastAsia" w:hAnsiTheme="minorEastAsia" w:eastAsiaTheme="minorEastAsia"/>
          <w:kern w:val="0"/>
          <w:sz w:val="24"/>
        </w:rPr>
        <w:t>，</w:t>
      </w:r>
      <w:r>
        <w:rPr>
          <w:rFonts w:asciiTheme="minorEastAsia" w:hAnsiTheme="minorEastAsia" w:eastAsiaTheme="minorEastAsia"/>
          <w:kern w:val="0"/>
          <w:sz w:val="24"/>
        </w:rPr>
        <w:t>不断优化师资队伍结构，着力提升教师教学能力和专业水平</w:t>
      </w:r>
      <w:r>
        <w:rPr>
          <w:rFonts w:hint="eastAsia" w:asciiTheme="minorEastAsia" w:hAnsiTheme="minorEastAsia" w:eastAsiaTheme="minorEastAsia"/>
          <w:kern w:val="0"/>
          <w:sz w:val="24"/>
        </w:rPr>
        <w:t>；</w:t>
      </w:r>
      <w:r>
        <w:rPr>
          <w:rFonts w:asciiTheme="minorEastAsia" w:hAnsiTheme="minorEastAsia" w:eastAsiaTheme="minorEastAsia"/>
          <w:kern w:val="0"/>
          <w:sz w:val="24"/>
        </w:rPr>
        <w:t>坚持教学经费优先投入，保障教学经费持续增长，教学条件、教学设施不断改善，从资源配置上树立人才培养的中心地位</w:t>
      </w:r>
      <w:r>
        <w:rPr>
          <w:rFonts w:hint="eastAsia" w:asciiTheme="minorEastAsia" w:hAnsiTheme="minorEastAsia" w:eastAsiaTheme="minorEastAsia"/>
          <w:kern w:val="0"/>
          <w:sz w:val="24"/>
        </w:rPr>
        <w:t>；</w:t>
      </w:r>
      <w:r>
        <w:rPr>
          <w:rFonts w:asciiTheme="minorEastAsia" w:hAnsiTheme="minorEastAsia" w:eastAsiaTheme="minorEastAsia"/>
          <w:kern w:val="0"/>
          <w:sz w:val="24"/>
        </w:rPr>
        <w:t>学校领导高度重视人才培养</w:t>
      </w:r>
      <w:r>
        <w:rPr>
          <w:rFonts w:hint="eastAsia" w:asciiTheme="minorEastAsia" w:hAnsiTheme="minorEastAsia" w:eastAsiaTheme="minorEastAsia"/>
          <w:kern w:val="0"/>
          <w:sz w:val="24"/>
        </w:rPr>
        <w:t>工作，</w:t>
      </w:r>
      <w:r>
        <w:rPr>
          <w:rFonts w:asciiTheme="minorEastAsia" w:hAnsiTheme="minorEastAsia" w:eastAsiaTheme="minorEastAsia"/>
          <w:kern w:val="0"/>
          <w:sz w:val="24"/>
        </w:rPr>
        <w:t>定期召开教学工作会议，确保教学工作的顺利开展</w:t>
      </w:r>
      <w:r>
        <w:rPr>
          <w:rFonts w:hint="eastAsia" w:asciiTheme="minorEastAsia" w:hAnsiTheme="minorEastAsia" w:eastAsiaTheme="minorEastAsia"/>
          <w:kern w:val="0"/>
          <w:sz w:val="24"/>
        </w:rPr>
        <w:t>；</w:t>
      </w:r>
      <w:r>
        <w:rPr>
          <w:rFonts w:asciiTheme="minorEastAsia" w:hAnsiTheme="minorEastAsia" w:eastAsiaTheme="minorEastAsia"/>
          <w:kern w:val="0"/>
          <w:sz w:val="24"/>
        </w:rPr>
        <w:t>各职能部门秉承管理就是服务的工作理念，通力合作，协调配合，全心全意为师生服务，师生满意度不断提高。</w:t>
      </w:r>
    </w:p>
    <w:p>
      <w:pPr>
        <w:numPr>
          <w:ilvl w:val="0"/>
          <w:numId w:val="5"/>
        </w:numPr>
        <w:jc w:val="left"/>
        <w:rPr>
          <w:rFonts w:ascii="Times New Roman" w:hAnsi="Times New Roman" w:eastAsia="黑体"/>
          <w:kern w:val="0"/>
          <w:sz w:val="28"/>
          <w:szCs w:val="28"/>
        </w:rPr>
      </w:pPr>
      <w:r>
        <w:rPr>
          <w:rFonts w:ascii="Times New Roman" w:hAnsi="黑体" w:eastAsia="黑体"/>
          <w:kern w:val="0"/>
          <w:sz w:val="28"/>
          <w:szCs w:val="28"/>
        </w:rPr>
        <w:t>教学质量保障体系</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学校紧紧围绕应用型、复合型、创新创业型人才培养目标，初步建立了</w:t>
      </w:r>
      <w:r>
        <w:rPr>
          <w:rFonts w:hint="eastAsia" w:asciiTheme="minorEastAsia" w:hAnsiTheme="minorEastAsia" w:eastAsiaTheme="minorEastAsia"/>
          <w:kern w:val="0"/>
          <w:sz w:val="24"/>
        </w:rPr>
        <w:t>包含决策、目标、标准、支持、监控与评估、反馈、调控七个环节在内的</w:t>
      </w:r>
      <w:r>
        <w:rPr>
          <w:rFonts w:asciiTheme="minorEastAsia" w:hAnsiTheme="minorEastAsia" w:eastAsiaTheme="minorEastAsia"/>
          <w:kern w:val="0"/>
          <w:sz w:val="24"/>
        </w:rPr>
        <w:t>“七位一体”的质量监控与调控网络，</w:t>
      </w:r>
      <w:r>
        <w:rPr>
          <w:rFonts w:hint="eastAsia" w:asciiTheme="minorEastAsia" w:hAnsiTheme="minorEastAsia" w:eastAsiaTheme="minorEastAsia"/>
          <w:kern w:val="0"/>
          <w:sz w:val="24"/>
        </w:rPr>
        <w:t>形成了一个任务明确、职责清晰、相互协调、相互促进的教学质量管理有机体，基本</w:t>
      </w:r>
      <w:r>
        <w:rPr>
          <w:rFonts w:asciiTheme="minorEastAsia" w:hAnsiTheme="minorEastAsia" w:eastAsiaTheme="minorEastAsia"/>
          <w:kern w:val="0"/>
          <w:sz w:val="24"/>
        </w:rPr>
        <w:t>形成了全员参与、全程监控、全面评价、持续改进的教学质量保障体系。</w:t>
      </w:r>
    </w:p>
    <w:p>
      <w:pPr>
        <w:ind w:firstLine="480" w:firstLineChars="200"/>
        <w:jc w:val="left"/>
        <w:rPr>
          <w:rFonts w:ascii="黑体" w:hAnsi="黑体" w:eastAsia="黑体"/>
          <w:kern w:val="0"/>
          <w:sz w:val="24"/>
        </w:rPr>
      </w:pPr>
      <w:r>
        <w:rPr>
          <w:rFonts w:ascii="黑体" w:hAnsi="黑体" w:eastAsia="黑体"/>
          <w:kern w:val="0"/>
          <w:sz w:val="24"/>
        </w:rPr>
        <w:t>1.质量标准建设</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依据《普通高等学校本科专业类教学质量国家标准》、办学定位和人才培养目标，学校制定了专业质量、教学建设质量、教学过程质量、教学文档质量及教学管理质量标准，为教师开展教学工作提供了准则，为管理部门开展教学评估提供了标准，为教学工作顺利开展提供了保障。</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根据办学定位和办学思路，围绕应用型、复合型、创新创业型人才培养目标，依据《普通高等学校本科专业类教学质量国家标准》，学校</w:t>
      </w:r>
      <w:r>
        <w:rPr>
          <w:rFonts w:asciiTheme="minorEastAsia" w:hAnsiTheme="minorEastAsia" w:eastAsiaTheme="minorEastAsia"/>
          <w:kern w:val="0"/>
          <w:sz w:val="24"/>
        </w:rPr>
        <w:t>出台</w:t>
      </w:r>
      <w:r>
        <w:rPr>
          <w:rFonts w:hint="eastAsia" w:asciiTheme="minorEastAsia" w:hAnsiTheme="minorEastAsia" w:eastAsiaTheme="minorEastAsia"/>
          <w:kern w:val="0"/>
          <w:sz w:val="24"/>
        </w:rPr>
        <w:t>《赤峰学院“十三五”改革与发展规划》《赤峰学院“十三五”教学建设规划》《赤峰学院本科专业设置与管理办法（试行）》《赤峰学院本科专业建设指导意见（试行）》《赤峰学院应用型品牌、优秀专业评选办法》《赤峰学院课程建设与改革实施办法》《赤峰学院人才引进与培养工程实施办法》《赤峰学院实验教学管理办法（修订）》</w:t>
      </w:r>
      <w:r>
        <w:rPr>
          <w:rFonts w:asciiTheme="minorEastAsia" w:hAnsiTheme="minorEastAsia" w:eastAsiaTheme="minorEastAsia"/>
          <w:kern w:val="0"/>
          <w:sz w:val="24"/>
        </w:rPr>
        <w:t>，明确了专业建设、师资队伍建设、课程建设、教材建设、实验室建设、实践基地建设等教学建设方面的质量标准；出台</w:t>
      </w:r>
      <w:r>
        <w:rPr>
          <w:rFonts w:hint="eastAsia" w:asciiTheme="minorEastAsia" w:hAnsiTheme="minorEastAsia" w:eastAsiaTheme="minorEastAsia"/>
          <w:kern w:val="0"/>
          <w:sz w:val="24"/>
        </w:rPr>
        <w:t>《赤峰学院教学质量监控体系实施方案（试行）》《赤峰学院课堂教学管理细则》《赤峰学院教师课堂教学质量评价办法（修订）》等文件</w:t>
      </w:r>
      <w:r>
        <w:rPr>
          <w:rFonts w:asciiTheme="minorEastAsia" w:hAnsiTheme="minorEastAsia" w:eastAsiaTheme="minorEastAsia"/>
          <w:kern w:val="0"/>
          <w:sz w:val="24"/>
        </w:rPr>
        <w:t>，明确了备课、讲授、辅导、答疑、实验、实习、考试、毕业设计或论文等教学过程的标准，构建了较为完善的本科教学各环节的质量标准体系；出台</w:t>
      </w:r>
      <w:r>
        <w:rPr>
          <w:rFonts w:hint="eastAsia" w:asciiTheme="minorEastAsia" w:hAnsiTheme="minorEastAsia" w:eastAsiaTheme="minorEastAsia"/>
          <w:kern w:val="0"/>
          <w:sz w:val="24"/>
        </w:rPr>
        <w:t>《赤峰学院档案管理办法》和《赤峰学院档案实体分类方案》等文件</w:t>
      </w:r>
      <w:r>
        <w:rPr>
          <w:rFonts w:asciiTheme="minorEastAsia" w:hAnsiTheme="minorEastAsia" w:eastAsiaTheme="minorEastAsia"/>
          <w:kern w:val="0"/>
          <w:sz w:val="24"/>
        </w:rPr>
        <w:t>，对人才培养方案、教学计划、教学大纲、教学规范、学籍管理等环节提出了明确教学文档质量要求；制定并实施了《赤峰学院教学工作考核评价办法》，对教学单位年度教学工作质量进行考核评估，督促和激励各教学单位认真履行教学管理职责，不断提高教学管理水平。</w:t>
      </w:r>
    </w:p>
    <w:p>
      <w:pPr>
        <w:ind w:firstLine="480" w:firstLineChars="200"/>
        <w:jc w:val="left"/>
        <w:rPr>
          <w:rFonts w:ascii="黑体" w:hAnsi="黑体" w:eastAsia="黑体"/>
          <w:kern w:val="0"/>
          <w:sz w:val="24"/>
        </w:rPr>
      </w:pPr>
      <w:r>
        <w:rPr>
          <w:rFonts w:ascii="黑体" w:hAnsi="黑体" w:eastAsia="黑体"/>
          <w:kern w:val="0"/>
          <w:sz w:val="24"/>
        </w:rPr>
        <w:t>2.质量保障体系</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进一步完善教学质量保障体系，制定出台了《赤峰学院教学质量监控体系实施方案（试行）》《赤峰学院教师教学工作规程》《赤峰学院课堂教学管理细则》《赤峰学院教师课堂教学质量评价办法（修订）》《赤峰学院二级学院本科教学常规工作建档指南》《赤峰学院教学工作考核评价办法（修订）》《赤峰学院学生教学信息员管理办法》《赤峰学院听课制度》《赤峰学院“本科教学质量与教学改革工程”项目管理暂行办法》《赤峰学院教学奖励项目评审办法》等多个教学质量监控文件制度并严格落实。</w:t>
      </w:r>
    </w:p>
    <w:p>
      <w:pPr>
        <w:spacing w:line="400" w:lineRule="exact"/>
        <w:ind w:firstLine="480" w:firstLine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根据学校校院两级管理体制改革工作的总体部署，按照《赤峰学院全面深化校院两级管理体制改革实施方案（试行）》和《赤峰学院二级学院工作运行指导意见（试行）》文件精神，修制定了《赤峰学院教师教学工作规程》《赤峰学院教学事故认定与处理办法》《赤峰学院课程考核及重修管理办法》《赤峰学院公共体育课程管理办法》《赤峰学院教室使用及管理办法（修订）》《赤峰学院实验教学用材料、低值易耗品管理办法（试行）》《赤峰学院本专科生实习管理规定（试行）》《赤峰学院教育实习实施细则（试行）》《赤峰学院实习经费管理办法（试行）》等教学文件，引导二级学院提高质量意识，主动构建教学质量监控和保障体系，在运行中不断完善体系、持续改进，不断提高教育教学质量和人才培养质量。</w:t>
      </w:r>
    </w:p>
    <w:p>
      <w:pPr>
        <w:spacing w:line="400" w:lineRule="exact"/>
        <w:ind w:firstLine="480" w:firstLineChars="200"/>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lang w:val="en-US" w:eastAsia="zh-CN"/>
        </w:rPr>
        <w:t>疫情期间，</w:t>
      </w:r>
      <w:r>
        <w:rPr>
          <w:rFonts w:hint="eastAsia" w:asciiTheme="minorEastAsia" w:hAnsiTheme="minorEastAsia" w:eastAsiaTheme="minorEastAsia"/>
          <w:kern w:val="0"/>
          <w:sz w:val="24"/>
          <w:highlight w:val="none"/>
        </w:rPr>
        <w:t>为贯彻落实“停课不停教、停课不停学”的工作要求，为有效保障线上教学质量，教务处制定并实施了《关于做好疫情防控期间线上本专科教学质量监控与督导工作的通知》文件，从制度上保障了在线课程教学质量监控有章可循，有规可依。</w:t>
      </w:r>
    </w:p>
    <w:p>
      <w:pPr>
        <w:numPr>
          <w:ilvl w:val="0"/>
          <w:numId w:val="5"/>
        </w:numPr>
        <w:jc w:val="left"/>
        <w:rPr>
          <w:rFonts w:ascii="Times New Roman" w:hAnsi="黑体" w:eastAsia="黑体"/>
          <w:kern w:val="0"/>
          <w:sz w:val="28"/>
          <w:szCs w:val="28"/>
        </w:rPr>
      </w:pPr>
      <w:r>
        <w:rPr>
          <w:rFonts w:ascii="Times New Roman" w:hAnsi="黑体" w:eastAsia="黑体"/>
          <w:kern w:val="0"/>
          <w:sz w:val="28"/>
          <w:szCs w:val="28"/>
        </w:rPr>
        <w:t>质量监控</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构建了系统的教学质量监控机制，对教学管理过程进行有效的监控，较好的保障了人才培养质量，为进一步完善教学质量保障制度，修制定出台了《赤峰学院教师教学工作规程》《赤峰学院教学事故认定与处理办法》《赤峰学院课程考核及重修管理办法》《赤峰学院公共体育课程管理办法》《赤峰学院教材管理规定》《赤峰学院教室使用及管理办法（修订）》等多个教学质量监控文件制度并严格落实。</w:t>
      </w:r>
    </w:p>
    <w:p>
      <w:pPr>
        <w:spacing w:line="400" w:lineRule="exact"/>
        <w:ind w:firstLine="480" w:firstLine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依据《赤峰学院教学工作考核评价办法（修订）》，学校进一步强化教学工作检查与评估工作。在认真完成每学期期初调研、期中教学检查、期末考试巡查及教学督导等工作的基础上，进行了二级学院教学工作考核评价，公布了评价结果；并按照《赤峰学院二级学院本科教学常规工作建档指南》，对各二级学院教学档案建档管理情况进行了专项巡查，明确教学档案质量要求，规范了教学档案管理。</w:t>
      </w:r>
    </w:p>
    <w:p>
      <w:pPr>
        <w:spacing w:line="400" w:lineRule="exact"/>
        <w:ind w:firstLine="480" w:firstLine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依据《赤峰学院教学奖励项目评审办法》，2019年度完成了2018年度教学奖励项目申报及评审工作，共227项进行了教学奖励，奖金额度达176万余元。同时进一步加强教学纪律违纪及教学事故认定处理，通报学生教学纪律违纪242人次、教师教学事故通报2人。</w:t>
      </w:r>
    </w:p>
    <w:p>
      <w:pPr>
        <w:spacing w:line="400" w:lineRule="exact"/>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lang w:val="en-US" w:eastAsia="zh-CN"/>
        </w:rPr>
        <w:t>疫情期间，</w:t>
      </w:r>
      <w:r>
        <w:rPr>
          <w:rFonts w:hint="eastAsia" w:asciiTheme="minorEastAsia" w:hAnsiTheme="minorEastAsia" w:eastAsiaTheme="minorEastAsia"/>
          <w:kern w:val="0"/>
          <w:sz w:val="24"/>
          <w:highlight w:val="none"/>
        </w:rPr>
        <w:t>学校教学督导委员会将面对面督导检查方式转变为线上督导，制定了线上督导工作安排。学校教学督导委员会通过泛雅平台教学督导专栏，及时掌握各教学单位教学动态，并深入线上课堂实时检查、监督和指导授课教师的课前准备、授课过程、课后辅导等教学活动，得到及时客观的教学督导结果并向教学单位反馈。各教学单位制定线上教学质量监控与督导方案，组建线上教学督导工作组，积极发挥监督、巡查作用，极大地促进了网上教学平台的建设及使用；同时部分教学单位通过发放网上调研问卷、网上课程评价表等方式进一步加强了线上教学管理，能够及时发现问题、解决问题，为更好的保障线上教学质量，提供了支撑。</w:t>
      </w:r>
    </w:p>
    <w:p>
      <w:pPr>
        <w:numPr>
          <w:ilvl w:val="0"/>
          <w:numId w:val="5"/>
        </w:numPr>
        <w:jc w:val="left"/>
        <w:rPr>
          <w:rFonts w:ascii="Times New Roman" w:hAnsi="Times New Roman" w:eastAsia="黑体"/>
          <w:kern w:val="0"/>
          <w:sz w:val="28"/>
          <w:szCs w:val="28"/>
        </w:rPr>
      </w:pPr>
      <w:r>
        <w:rPr>
          <w:rFonts w:ascii="Times New Roman" w:hAnsi="黑体" w:eastAsia="黑体"/>
          <w:kern w:val="0"/>
          <w:sz w:val="28"/>
          <w:szCs w:val="28"/>
        </w:rPr>
        <w:t>基本状态分析利用</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学校以全国本科高校教学基本状态数据库为参照标准，根据本校实际情况和教学质量保障体系建设需要，以院部考评的方式建立校内教学基本状态数据库</w:t>
      </w:r>
      <w:r>
        <w:rPr>
          <w:rFonts w:hint="eastAsia" w:asciiTheme="minorEastAsia" w:hAnsiTheme="minorEastAsia" w:eastAsiaTheme="minorEastAsia"/>
          <w:kern w:val="0"/>
          <w:sz w:val="24"/>
        </w:rPr>
        <w:t>，</w:t>
      </w:r>
      <w:r>
        <w:rPr>
          <w:rFonts w:asciiTheme="minorEastAsia" w:hAnsiTheme="minorEastAsia" w:eastAsiaTheme="minorEastAsia"/>
          <w:kern w:val="0"/>
          <w:sz w:val="24"/>
        </w:rPr>
        <w:t>教务处每学年对二级学院基本教学数据进行统计分析。通过期初、期中、期末教学集中检查、随机教学抽查、督导组及领导干部听课、院部考评、专项检查与评估等方式</w:t>
      </w:r>
      <w:r>
        <w:rPr>
          <w:rFonts w:hint="eastAsia" w:asciiTheme="minorEastAsia" w:hAnsiTheme="minorEastAsia" w:eastAsiaTheme="minorEastAsia"/>
          <w:kern w:val="0"/>
          <w:sz w:val="24"/>
        </w:rPr>
        <w:t>，</w:t>
      </w:r>
      <w:r>
        <w:rPr>
          <w:rFonts w:asciiTheme="minorEastAsia" w:hAnsiTheme="minorEastAsia" w:eastAsiaTheme="minorEastAsia"/>
          <w:kern w:val="0"/>
          <w:sz w:val="24"/>
        </w:rPr>
        <w:t>收集关于教学运行、教学管理、教学保障和教学服务等方面存在的问题和建议。教务处对相关数据进行整理、统计，协同督导组和专家组进行分析，学校教学指导委员会、院长办公会下达调整和整改指令，由主管部门监督整改效果，并对整改效果进行评价</w:t>
      </w:r>
      <w:r>
        <w:rPr>
          <w:rFonts w:hint="eastAsia" w:asciiTheme="minorEastAsia" w:hAnsiTheme="minorEastAsia" w:eastAsiaTheme="minorEastAsia"/>
          <w:kern w:val="0"/>
          <w:sz w:val="24"/>
        </w:rPr>
        <w:t>。</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学校每年及时采集上报</w:t>
      </w:r>
      <w:r>
        <w:rPr>
          <w:rFonts w:hint="eastAsia" w:asciiTheme="minorEastAsia" w:hAnsiTheme="minorEastAsia" w:eastAsiaTheme="minorEastAsia"/>
          <w:kern w:val="0"/>
          <w:sz w:val="24"/>
        </w:rPr>
        <w:t>《教学基本状态数据》《高等学校办学基本情况报表》等质量信息，定期撰写</w:t>
      </w:r>
      <w:r>
        <w:rPr>
          <w:rFonts w:asciiTheme="minorEastAsia" w:hAnsiTheme="minorEastAsia" w:eastAsiaTheme="minorEastAsia"/>
          <w:kern w:val="0"/>
          <w:sz w:val="24"/>
        </w:rPr>
        <w:t>《赤峰学院本科教学质量报告》</w:t>
      </w:r>
      <w:r>
        <w:rPr>
          <w:rFonts w:hint="eastAsia" w:asciiTheme="minorEastAsia" w:hAnsiTheme="minorEastAsia" w:eastAsiaTheme="minorEastAsia"/>
          <w:kern w:val="0"/>
          <w:sz w:val="24"/>
        </w:rPr>
        <w:t>，并公布年度教学质量报告，</w:t>
      </w:r>
      <w:r>
        <w:rPr>
          <w:rFonts w:asciiTheme="minorEastAsia" w:hAnsiTheme="minorEastAsia" w:eastAsiaTheme="minorEastAsia"/>
          <w:kern w:val="0"/>
          <w:sz w:val="24"/>
        </w:rPr>
        <w:t>对信息公开工作执行情况进行自检自查，不断探索深化信息公开的新途径、新方法</w:t>
      </w:r>
      <w:r>
        <w:rPr>
          <w:rFonts w:hint="eastAsia" w:asciiTheme="minorEastAsia" w:hAnsiTheme="minorEastAsia" w:eastAsiaTheme="minorEastAsia"/>
          <w:kern w:val="0"/>
          <w:sz w:val="24"/>
        </w:rPr>
        <w:t>，</w:t>
      </w:r>
      <w:r>
        <w:rPr>
          <w:rFonts w:asciiTheme="minorEastAsia" w:hAnsiTheme="minorEastAsia" w:eastAsiaTheme="minorEastAsia"/>
          <w:kern w:val="0"/>
          <w:sz w:val="24"/>
        </w:rPr>
        <w:t>接受社会监督。</w:t>
      </w:r>
    </w:p>
    <w:p>
      <w:pPr>
        <w:numPr>
          <w:ilvl w:val="0"/>
          <w:numId w:val="5"/>
        </w:numPr>
        <w:jc w:val="left"/>
        <w:rPr>
          <w:rFonts w:ascii="Times New Roman" w:hAnsi="Times New Roman" w:eastAsia="黑体"/>
          <w:color w:val="000000" w:themeColor="text1"/>
          <w:kern w:val="0"/>
          <w:sz w:val="28"/>
          <w:szCs w:val="28"/>
        </w:rPr>
      </w:pPr>
      <w:r>
        <w:rPr>
          <w:rFonts w:ascii="Times New Roman" w:hAnsi="黑体" w:eastAsia="黑体"/>
          <w:color w:val="000000" w:themeColor="text1"/>
          <w:kern w:val="0"/>
          <w:sz w:val="28"/>
          <w:szCs w:val="28"/>
        </w:rPr>
        <w:t>评估制度</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校内审核评估</w:t>
      </w:r>
      <w:r>
        <w:rPr>
          <w:rFonts w:hint="eastAsia" w:asciiTheme="minorEastAsia" w:hAnsiTheme="minorEastAsia" w:eastAsiaTheme="minorEastAsia"/>
          <w:kern w:val="0"/>
          <w:sz w:val="24"/>
        </w:rPr>
        <w:t>：根据教育部、自治区教育厅对我校评估的反馈意见和校内自评结果，制定整改方案并落实好整改任务。</w:t>
      </w:r>
      <w:r>
        <w:rPr>
          <w:rFonts w:asciiTheme="minorEastAsia" w:hAnsiTheme="minorEastAsia" w:eastAsiaTheme="minorEastAsia"/>
          <w:kern w:val="0"/>
          <w:sz w:val="24"/>
        </w:rPr>
        <w:t>学校以审核评估为契机，坚持“以评促建、以评促改、以评促管、评建结合、重在建设”的方针，组织开展内部审核评估</w:t>
      </w:r>
      <w:r>
        <w:rPr>
          <w:rFonts w:hint="eastAsia" w:asciiTheme="minorEastAsia" w:hAnsiTheme="minorEastAsia" w:eastAsiaTheme="minorEastAsia"/>
          <w:kern w:val="0"/>
          <w:sz w:val="24"/>
        </w:rPr>
        <w:t>，研制出台了《赤峰学院本科教学工作审核评估整改工作方案》《赤峰学院本科教学审核评估工作整改工作台账》等审核评估整改工作指导性文件；组织开展了校内审核评估整改工作，并针对涉及的19个问题，提出的43项整改措施全部完成整改，同时配合相关牵头单位认真完成了整改工作任务。</w:t>
      </w:r>
      <w:r>
        <w:rPr>
          <w:rFonts w:asciiTheme="minorEastAsia" w:hAnsiTheme="minorEastAsia" w:eastAsiaTheme="minorEastAsia"/>
          <w:kern w:val="0"/>
          <w:sz w:val="24"/>
        </w:rPr>
        <w:t>201</w:t>
      </w:r>
      <w:r>
        <w:rPr>
          <w:rFonts w:hint="eastAsia" w:asciiTheme="minorEastAsia" w:hAnsiTheme="minorEastAsia" w:eastAsiaTheme="minorEastAsia"/>
          <w:kern w:val="0"/>
          <w:sz w:val="24"/>
        </w:rPr>
        <w:t>9-2020</w:t>
      </w:r>
      <w:r>
        <w:rPr>
          <w:rFonts w:asciiTheme="minorEastAsia" w:hAnsiTheme="minorEastAsia" w:eastAsiaTheme="minorEastAsia"/>
          <w:kern w:val="0"/>
          <w:sz w:val="24"/>
        </w:rPr>
        <w:t>年学校</w:t>
      </w:r>
      <w:r>
        <w:rPr>
          <w:rFonts w:hint="eastAsia" w:asciiTheme="minorEastAsia" w:hAnsiTheme="minorEastAsia" w:eastAsiaTheme="minorEastAsia"/>
          <w:kern w:val="0"/>
          <w:sz w:val="24"/>
        </w:rPr>
        <w:t>多次召开临床医学专业认证工作实施方案讨论会、临床医学专业认证培训会、临床医学专业认证工作推进会、临床医学专业认证预评估筹备会、临床医学专业认证专家反馈意见整改工作会、师范类专业认证工作会，并开展师范类专业认证专题培训，通过专业认证的国家标准对医学专业、师范专业教育进行全面客观“诊断”，明确“以学生为中心”的人才培养模式这一主题。</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第三方评价：2019年，学校聘请麦可思数据有限公司开展生源质量检测、学生成长检测、毕业生就业质量检测、毕业生中期发展检测、教学质量检测、师资保障检测及用人单位反馈检测等工作。通过引入第三方评价，探索构建“管、办、评”分离机制。</w:t>
      </w:r>
    </w:p>
    <w:p>
      <w:pPr>
        <w:numPr>
          <w:ilvl w:val="0"/>
          <w:numId w:val="5"/>
        </w:numPr>
        <w:jc w:val="left"/>
        <w:rPr>
          <w:rFonts w:ascii="Times New Roman" w:hAnsi="Times New Roman" w:eastAsia="黑体"/>
          <w:kern w:val="0"/>
          <w:sz w:val="28"/>
          <w:szCs w:val="28"/>
        </w:rPr>
      </w:pPr>
      <w:r>
        <w:rPr>
          <w:rFonts w:ascii="Times New Roman" w:hAnsi="黑体" w:eastAsia="黑体"/>
          <w:kern w:val="0"/>
          <w:sz w:val="28"/>
          <w:szCs w:val="28"/>
        </w:rPr>
        <w:t>质量改进</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学校制定出台了</w:t>
      </w:r>
      <w:r>
        <w:rPr>
          <w:rFonts w:hint="eastAsia" w:asciiTheme="minorEastAsia" w:hAnsiTheme="minorEastAsia" w:eastAsiaTheme="minorEastAsia"/>
          <w:kern w:val="0"/>
          <w:sz w:val="24"/>
        </w:rPr>
        <w:t>《赤峰学院教学质量监控体系实施方案（试行）》、《赤峰学院“本科教学质量与教学改革工程”项目管理暂行办法》及补充规定、《赤峰学院关于深化“双改”工作的实施方案》等文件制度，从政策机制上保障质量改进工作有效开展。学校坚持保证教学运行经费每年以10%比例递增，优先保障教学经费投入，保障质量监控、教学培训等工作有效开展。</w:t>
      </w:r>
    </w:p>
    <w:p>
      <w:pPr>
        <w:spacing w:line="400" w:lineRule="exact"/>
        <w:ind w:firstLine="480" w:firstLineChars="200"/>
        <w:rPr>
          <w:rFonts w:asciiTheme="minorEastAsia" w:hAnsiTheme="minorEastAsia" w:eastAsiaTheme="minorEastAsia"/>
          <w:kern w:val="0"/>
          <w:sz w:val="24"/>
          <w:highlight w:val="yellow"/>
        </w:rPr>
      </w:pPr>
      <w:r>
        <w:rPr>
          <w:rFonts w:hint="eastAsia" w:asciiTheme="minorEastAsia" w:hAnsiTheme="minorEastAsia" w:eastAsiaTheme="minorEastAsia"/>
          <w:kern w:val="0"/>
          <w:sz w:val="24"/>
          <w:highlight w:val="none"/>
        </w:rPr>
        <w:t>学校认真贯彻落实师资队伍建设发展规划，不断完善奖励激励机制，加大资金投入，坚持引育并举，加强高层次人才的引进与培养，通过优化师资队伍结构、提高教师教学能力来助力教学质量改进。学校</w:t>
      </w:r>
      <w:r>
        <w:rPr>
          <w:rFonts w:asciiTheme="minorEastAsia" w:hAnsiTheme="minorEastAsia" w:eastAsiaTheme="minorEastAsia"/>
          <w:kern w:val="0"/>
          <w:sz w:val="24"/>
          <w:highlight w:val="none"/>
        </w:rPr>
        <w:t>一贯重视教学质量改进工作，校院两级教学督导会根据各类教学检查和评估的结果情况，向相关职能部门和教学单位提出质量改进的建设意见和要求，各责任单位在职责范围内及时组织整改建设。教务处负责对各教学单位及有关部门的整改建设情况进行跟踪监督，收集和传达反馈信息，并对整改结果进行验收与评价。学校经过积极探索和实践，形成了及时反馈、动态管理、持续改进的质量改进模式，基本形成了质量监督及改进长效机制，教师教学能力和水平不断提高</w:t>
      </w:r>
      <w:r>
        <w:rPr>
          <w:rFonts w:hint="eastAsia" w:asciiTheme="minorEastAsia" w:hAnsiTheme="minorEastAsia" w:eastAsiaTheme="minorEastAsia"/>
          <w:kern w:val="0"/>
          <w:sz w:val="24"/>
          <w:highlight w:val="none"/>
        </w:rPr>
        <w:t>。</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w:t>
      </w:r>
      <w:r>
        <w:rPr>
          <w:rFonts w:hint="eastAsia" w:asciiTheme="minorEastAsia" w:hAnsiTheme="minorEastAsia" w:eastAsiaTheme="minorEastAsia"/>
          <w:kern w:val="0"/>
          <w:sz w:val="24"/>
          <w:lang w:val="en-US" w:eastAsia="zh-CN"/>
        </w:rPr>
        <w:t>根据</w:t>
      </w:r>
      <w:r>
        <w:rPr>
          <w:rFonts w:hint="eastAsia" w:asciiTheme="minorEastAsia" w:hAnsiTheme="minorEastAsia" w:eastAsiaTheme="minorEastAsia"/>
          <w:kern w:val="0"/>
          <w:sz w:val="24"/>
        </w:rPr>
        <w:t>学校校院两极管理改革的各项</w:t>
      </w:r>
      <w:r>
        <w:rPr>
          <w:rFonts w:hint="eastAsia" w:asciiTheme="minorEastAsia" w:hAnsiTheme="minorEastAsia" w:eastAsiaTheme="minorEastAsia"/>
          <w:kern w:val="0"/>
          <w:sz w:val="24"/>
          <w:lang w:val="en-US" w:eastAsia="zh-CN"/>
        </w:rPr>
        <w:t>工作安排</w:t>
      </w:r>
      <w:r>
        <w:rPr>
          <w:rFonts w:hint="eastAsia" w:asciiTheme="minorEastAsia" w:hAnsiTheme="minorEastAsia" w:eastAsiaTheme="minorEastAsia"/>
          <w:kern w:val="0"/>
          <w:sz w:val="24"/>
        </w:rPr>
        <w:t>，</w:t>
      </w:r>
      <w:r>
        <w:rPr>
          <w:rFonts w:hint="eastAsia" w:asciiTheme="minorEastAsia" w:hAnsiTheme="minorEastAsia" w:eastAsiaTheme="minorEastAsia"/>
          <w:kern w:val="0"/>
          <w:sz w:val="24"/>
          <w:lang w:val="en-US" w:eastAsia="zh-CN"/>
        </w:rPr>
        <w:t>并</w:t>
      </w:r>
      <w:r>
        <w:rPr>
          <w:rFonts w:hint="eastAsia" w:asciiTheme="minorEastAsia" w:hAnsiTheme="minorEastAsia" w:eastAsiaTheme="minorEastAsia"/>
          <w:kern w:val="0"/>
          <w:sz w:val="24"/>
        </w:rPr>
        <w:t>结合工作实际，对《赤峰学院就业工作管理办法》、《赤峰学院关于二级学院就业创业工作经费的使用规定》、《赤峰学院就业创业工作年度考核实施方案》、《赤峰学院毕业生就业质量跟踪调查实施办法》</w:t>
      </w:r>
      <w:r>
        <w:rPr>
          <w:rFonts w:hint="eastAsia" w:asciiTheme="minorEastAsia" w:hAnsiTheme="minorEastAsia" w:eastAsiaTheme="minorEastAsia"/>
          <w:kern w:val="0"/>
          <w:sz w:val="24"/>
          <w:lang w:val="en-US" w:eastAsia="zh-CN"/>
        </w:rPr>
        <w:t>和</w:t>
      </w:r>
      <w:r>
        <w:rPr>
          <w:rFonts w:hint="eastAsia" w:asciiTheme="minorEastAsia" w:hAnsiTheme="minorEastAsia" w:eastAsiaTheme="minorEastAsia"/>
          <w:kern w:val="0"/>
          <w:sz w:val="24"/>
        </w:rPr>
        <w:t>《赤峰学院大学生实践创新创业教育学分管理办法(试行)》等文件进行了</w:t>
      </w:r>
      <w:r>
        <w:rPr>
          <w:rFonts w:hint="eastAsia" w:asciiTheme="minorEastAsia" w:hAnsiTheme="minorEastAsia" w:eastAsiaTheme="minorEastAsia"/>
          <w:kern w:val="0"/>
          <w:sz w:val="24"/>
          <w:lang w:val="en-US" w:eastAsia="zh-CN"/>
        </w:rPr>
        <w:t>修订</w:t>
      </w:r>
      <w:r>
        <w:rPr>
          <w:rFonts w:hint="eastAsia" w:asciiTheme="minorEastAsia" w:hAnsiTheme="minorEastAsia" w:eastAsiaTheme="minorEastAsia"/>
          <w:kern w:val="0"/>
          <w:sz w:val="24"/>
        </w:rPr>
        <w:t>，新出台《赤峰学院大学生实践创新创业教育学分认定程序》，</w:t>
      </w:r>
      <w:r>
        <w:rPr>
          <w:rFonts w:hint="eastAsia" w:asciiTheme="minorEastAsia" w:hAnsiTheme="minorEastAsia" w:eastAsiaTheme="minorEastAsia"/>
          <w:kern w:val="0"/>
          <w:sz w:val="24"/>
          <w:lang w:val="en-US" w:eastAsia="zh-CN"/>
        </w:rPr>
        <w:t>修订</w:t>
      </w:r>
      <w:r>
        <w:rPr>
          <w:rFonts w:hint="eastAsia" w:asciiTheme="minorEastAsia" w:hAnsiTheme="minorEastAsia" w:eastAsiaTheme="minorEastAsia"/>
          <w:kern w:val="0"/>
          <w:sz w:val="24"/>
        </w:rPr>
        <w:t>了《赤峰学院毕业生就业派遣工作流程》，进一步完善工作制度，为就业创业工作质量改进提供了有效保障，整体</w:t>
      </w:r>
      <w:r>
        <w:rPr>
          <w:rFonts w:asciiTheme="minorEastAsia" w:hAnsiTheme="minorEastAsia" w:eastAsiaTheme="minorEastAsia"/>
          <w:kern w:val="0"/>
          <w:sz w:val="24"/>
        </w:rPr>
        <w:t>招生就业态势良好，学校转型发展和内涵发展水平显著提高，得到了毕业生、用人单位和社会各界的普遍认可。</w:t>
      </w:r>
    </w:p>
    <w:p>
      <w:pPr>
        <w:ind w:firstLine="600" w:firstLineChars="200"/>
        <w:jc w:val="left"/>
        <w:rPr>
          <w:rFonts w:ascii="Times New Roman" w:hAnsi="Times New Roman" w:eastAsia="黑体"/>
          <w:kern w:val="0"/>
          <w:sz w:val="30"/>
          <w:szCs w:val="30"/>
        </w:rPr>
      </w:pPr>
      <w:r>
        <w:rPr>
          <w:rFonts w:hint="eastAsia" w:ascii="Times New Roman" w:hAnsi="黑体" w:eastAsia="黑体"/>
          <w:kern w:val="0"/>
          <w:sz w:val="30"/>
          <w:szCs w:val="30"/>
        </w:rPr>
        <w:t>六、</w:t>
      </w:r>
      <w:r>
        <w:rPr>
          <w:rFonts w:ascii="Times New Roman" w:hAnsi="黑体" w:eastAsia="黑体"/>
          <w:kern w:val="0"/>
          <w:sz w:val="30"/>
          <w:szCs w:val="30"/>
        </w:rPr>
        <w:t>学生学习效果</w:t>
      </w:r>
    </w:p>
    <w:p>
      <w:pPr>
        <w:numPr>
          <w:ilvl w:val="0"/>
          <w:numId w:val="6"/>
        </w:numPr>
        <w:jc w:val="left"/>
        <w:rPr>
          <w:rFonts w:ascii="Times New Roman" w:hAnsi="Times New Roman" w:eastAsia="黑体"/>
          <w:kern w:val="0"/>
          <w:sz w:val="28"/>
          <w:szCs w:val="28"/>
        </w:rPr>
      </w:pPr>
      <w:r>
        <w:rPr>
          <w:rFonts w:ascii="Times New Roman" w:hAnsi="黑体" w:eastAsia="黑体"/>
          <w:kern w:val="0"/>
          <w:sz w:val="28"/>
          <w:szCs w:val="28"/>
        </w:rPr>
        <w:t>学习满意度</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学校坚持以学生为本的办学理念，为学生的成长、成才和职业发展服务。</w:t>
      </w:r>
      <w:r>
        <w:rPr>
          <w:rFonts w:hint="eastAsia" w:asciiTheme="minorEastAsia" w:hAnsiTheme="minorEastAsia" w:eastAsiaTheme="minorEastAsia"/>
          <w:kern w:val="0"/>
          <w:sz w:val="24"/>
        </w:rPr>
        <w:t>出台《赤峰学院第二课堂成绩单实施办法》《赤峰学院学生科技文化创新奖励办法》《赤峰学院学生联合会改革实施方案》《赤峰学院团组织推荐优秀团员做党的发展对象工作细则》等制度。新冠</w:t>
      </w:r>
      <w:r>
        <w:rPr>
          <w:rFonts w:hint="eastAsia" w:asciiTheme="minorEastAsia" w:hAnsiTheme="minorEastAsia" w:eastAsiaTheme="minorEastAsia"/>
          <w:kern w:val="0"/>
          <w:sz w:val="24"/>
          <w:lang w:val="en-US" w:eastAsia="zh-CN"/>
        </w:rPr>
        <w:t>肺炎</w:t>
      </w:r>
      <w:r>
        <w:rPr>
          <w:rFonts w:hint="eastAsia" w:asciiTheme="minorEastAsia" w:hAnsiTheme="minorEastAsia" w:eastAsiaTheme="minorEastAsia"/>
          <w:kern w:val="0"/>
          <w:sz w:val="24"/>
        </w:rPr>
        <w:t>疫情期间学校从前期认知、教学准备、实施过程、教学效果、反思和期待等五个方面设计问卷，分别面向全校学生开展了“赤峰学院线上教学调查问卷学生版”、“赤峰学院线下教学调查问卷学生版（农牧区）”、“赤峰学院线上教学调查问卷学生版（2018级及2019级）”、“赤峰学院线下教学调查问卷学生版（2017级）”、“赤峰学院线上教学调查问卷学生版”，共8642名本专科生参与调研，通过问卷调查报告总结线上教学存在的共性问题，归纳出师生普遍认同的做法，为后期提升线上教学质量提供参考依据。</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2020年3月学生教学信息员队伍同步对线上教学进行课程统计，制作并发放网上调查问卷对第一周线上教学活动进行了调研。本次参与调查问卷的学生共计6042人，96.57%的学生能接受在疫情情况下学校开展在线课程教学；96.69%的学生认为，网上授课能让自己更好的吸收知识；98.46%同学对于网课具有积极性，认为上课听课效率较好；90%以上的学生认为学校第一周开设的在线课程教学目标清晰，在线课程的设计安排、平台资料能够很好的满足学生的学习需要。学生对开展在线教学课程的老师满意度很高。</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为保障我校2020届本科毕业论文（设计）工作在疫情期间有序开展，学校发布了《关于做好疫情防控期间我校2020届本科毕业论文（设计）工作的通知》，对全校毕业论文开题、毕业论文修改、答辩等情况进行了“云端”调研工作。经统计，我校本科毕业生数2966人，其中音乐学院、基础医学院、临床医学院、护理学院、口腔医学院毕业生无毕业论文要求，共计600人，实际撰写毕业论文毕业生2366人。为保障学生学习质量，坚持一个同学都不掉队的原则，学校针对不能进行网上授课的129名农牧区学生进行线下教学专项调研，89.33%的同学对线下教学内容及方式感到满意，81.33%的同学有不懂的地方可以及时得到解决，92.67%的同学在课后得到老师的帮助，83.33%的同学认为掌握知识程度较高。</w:t>
      </w:r>
    </w:p>
    <w:p>
      <w:pPr>
        <w:spacing w:line="400" w:lineRule="exact"/>
        <w:rPr>
          <w:rFonts w:hint="eastAsia" w:asciiTheme="minorEastAsia" w:hAnsiTheme="minorEastAsia" w:eastAsiaTheme="minorEastAsia"/>
          <w:kern w:val="0"/>
          <w:sz w:val="24"/>
          <w:lang w:eastAsia="zh-CN"/>
        </w:rPr>
      </w:pPr>
      <w:r>
        <w:rPr>
          <w:rFonts w:hint="eastAsia" w:asciiTheme="minorEastAsia" w:hAnsiTheme="minorEastAsia" w:eastAsiaTheme="minorEastAsia"/>
          <w:kern w:val="0"/>
          <w:sz w:val="24"/>
        </w:rPr>
        <w:t>2020年9月对2451名学生进行了线上教学调研工作，接受调研的学生中92.82%认为教师线上教学准备充分，89.02%认为线上课堂氛围活泼、互动积极，85.39%认为线上教学课程中不懂的地方能及时有效地解决，67.44%喜欢PPT录屏网课，开展在线教学课程老师的教育教学工作得到了学生的一致认可</w:t>
      </w:r>
      <w:r>
        <w:rPr>
          <w:rFonts w:hint="eastAsia" w:asciiTheme="minorEastAsia" w:hAnsiTheme="minorEastAsia" w:eastAsiaTheme="minorEastAsia"/>
          <w:kern w:val="0"/>
          <w:sz w:val="24"/>
          <w:lang w:eastAsia="zh-CN"/>
        </w:rPr>
        <w:t>。</w:t>
      </w:r>
    </w:p>
    <w:p>
      <w:pPr>
        <w:numPr>
          <w:ilvl w:val="0"/>
          <w:numId w:val="6"/>
        </w:numPr>
        <w:jc w:val="left"/>
        <w:rPr>
          <w:rFonts w:ascii="Times New Roman" w:hAnsi="Times New Roman" w:eastAsia="黑体"/>
          <w:kern w:val="0"/>
          <w:sz w:val="28"/>
          <w:szCs w:val="28"/>
        </w:rPr>
      </w:pPr>
      <w:r>
        <w:rPr>
          <w:rFonts w:ascii="Times New Roman" w:hAnsi="黑体" w:eastAsia="黑体"/>
          <w:kern w:val="0"/>
          <w:sz w:val="28"/>
          <w:szCs w:val="28"/>
        </w:rPr>
        <w:t>应届本科生毕业</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20</w:t>
      </w:r>
      <w:r>
        <w:rPr>
          <w:rFonts w:hint="eastAsia" w:asciiTheme="minorEastAsia" w:hAnsiTheme="minorEastAsia" w:eastAsiaTheme="minorEastAsia"/>
          <w:kern w:val="0"/>
          <w:sz w:val="24"/>
        </w:rPr>
        <w:t>20年，预计应</w:t>
      </w:r>
      <w:r>
        <w:rPr>
          <w:rFonts w:asciiTheme="minorEastAsia" w:hAnsiTheme="minorEastAsia" w:eastAsiaTheme="minorEastAsia"/>
          <w:kern w:val="0"/>
          <w:sz w:val="24"/>
        </w:rPr>
        <w:t>届本科毕业生数</w:t>
      </w:r>
      <w:r>
        <w:rPr>
          <w:rFonts w:hint="eastAsia" w:asciiTheme="minorEastAsia" w:hAnsiTheme="minorEastAsia" w:eastAsiaTheme="minorEastAsia"/>
          <w:kern w:val="0"/>
          <w:sz w:val="24"/>
        </w:rPr>
        <w:t>（不含蒙古语授课专业）</w:t>
      </w:r>
      <w:r>
        <w:rPr>
          <w:rFonts w:asciiTheme="minorEastAsia" w:hAnsiTheme="minorEastAsia" w:eastAsiaTheme="minorEastAsia"/>
          <w:kern w:val="0"/>
          <w:sz w:val="24"/>
        </w:rPr>
        <w:t>为</w:t>
      </w:r>
      <w:r>
        <w:rPr>
          <w:rFonts w:hint="eastAsia" w:asciiTheme="minorEastAsia" w:hAnsiTheme="minorEastAsia" w:eastAsiaTheme="minorEastAsia"/>
          <w:kern w:val="0"/>
          <w:sz w:val="24"/>
        </w:rPr>
        <w:t>2612</w:t>
      </w:r>
      <w:r>
        <w:rPr>
          <w:rFonts w:asciiTheme="minorEastAsia" w:hAnsiTheme="minorEastAsia" w:eastAsiaTheme="minorEastAsia"/>
          <w:kern w:val="0"/>
          <w:sz w:val="24"/>
        </w:rPr>
        <w:t>人</w:t>
      </w:r>
      <w:r>
        <w:rPr>
          <w:rFonts w:hint="eastAsia" w:asciiTheme="minorEastAsia" w:hAnsiTheme="minorEastAsia" w:eastAsiaTheme="minorEastAsia"/>
          <w:kern w:val="0"/>
          <w:sz w:val="24"/>
        </w:rPr>
        <w:t>，实际毕业2593人</w:t>
      </w:r>
      <w:r>
        <w:rPr>
          <w:rFonts w:asciiTheme="minorEastAsia" w:hAnsiTheme="minorEastAsia" w:eastAsiaTheme="minorEastAsia"/>
          <w:kern w:val="0"/>
          <w:sz w:val="24"/>
        </w:rPr>
        <w:t>，毕业率为</w:t>
      </w:r>
      <w:r>
        <w:rPr>
          <w:rFonts w:hint="eastAsia" w:asciiTheme="minorEastAsia" w:hAnsiTheme="minorEastAsia" w:eastAsiaTheme="minorEastAsia"/>
          <w:kern w:val="0"/>
          <w:sz w:val="24"/>
        </w:rPr>
        <w:t>99.27</w:t>
      </w:r>
      <w:r>
        <w:rPr>
          <w:rFonts w:asciiTheme="minorEastAsia" w:hAnsiTheme="minorEastAsia" w:eastAsiaTheme="minorEastAsia"/>
          <w:kern w:val="0"/>
          <w:sz w:val="24"/>
        </w:rPr>
        <w:t>%；授予学士学位</w:t>
      </w:r>
      <w:r>
        <w:rPr>
          <w:rFonts w:hint="eastAsia" w:asciiTheme="minorEastAsia" w:hAnsiTheme="minorEastAsia" w:eastAsiaTheme="minorEastAsia"/>
          <w:kern w:val="0"/>
          <w:sz w:val="24"/>
        </w:rPr>
        <w:t>2580</w:t>
      </w:r>
      <w:r>
        <w:rPr>
          <w:rFonts w:asciiTheme="minorEastAsia" w:hAnsiTheme="minorEastAsia" w:eastAsiaTheme="minorEastAsia"/>
          <w:kern w:val="0"/>
          <w:sz w:val="24"/>
        </w:rPr>
        <w:t>人，学位授予率为</w:t>
      </w:r>
      <w:r>
        <w:rPr>
          <w:rFonts w:hint="eastAsia" w:asciiTheme="minorEastAsia" w:hAnsiTheme="minorEastAsia" w:eastAsiaTheme="minorEastAsia"/>
          <w:kern w:val="0"/>
          <w:sz w:val="24"/>
        </w:rPr>
        <w:t>98.77</w:t>
      </w:r>
      <w:r>
        <w:rPr>
          <w:rFonts w:asciiTheme="minorEastAsia" w:hAnsiTheme="minorEastAsia" w:eastAsiaTheme="minorEastAsia"/>
          <w:kern w:val="0"/>
          <w:sz w:val="24"/>
        </w:rPr>
        <w:t>%</w:t>
      </w:r>
      <w:r>
        <w:rPr>
          <w:rFonts w:hint="eastAsia" w:asciiTheme="minorEastAsia" w:hAnsiTheme="minorEastAsia" w:eastAsiaTheme="minorEastAsia"/>
          <w:kern w:val="0"/>
          <w:sz w:val="24"/>
        </w:rPr>
        <w:t>，初次就业率为57.27%</w:t>
      </w:r>
      <w:r>
        <w:rPr>
          <w:rFonts w:asciiTheme="minorEastAsia" w:hAnsiTheme="minorEastAsia" w:eastAsiaTheme="minorEastAsia"/>
          <w:kern w:val="0"/>
          <w:sz w:val="24"/>
        </w:rPr>
        <w:t>；</w:t>
      </w:r>
      <w:r>
        <w:rPr>
          <w:rFonts w:hint="eastAsia" w:asciiTheme="minorEastAsia" w:hAnsiTheme="minorEastAsia" w:eastAsiaTheme="minorEastAsia"/>
          <w:kern w:val="0"/>
          <w:sz w:val="24"/>
        </w:rPr>
        <w:t>蒙古语授课专业应届本科</w:t>
      </w:r>
      <w:r>
        <w:rPr>
          <w:rFonts w:asciiTheme="minorEastAsia" w:hAnsiTheme="minorEastAsia" w:eastAsiaTheme="minorEastAsia"/>
          <w:kern w:val="0"/>
          <w:sz w:val="24"/>
        </w:rPr>
        <w:t>毕业生数</w:t>
      </w:r>
      <w:r>
        <w:rPr>
          <w:rFonts w:hint="eastAsia" w:asciiTheme="minorEastAsia" w:hAnsiTheme="minorEastAsia" w:eastAsiaTheme="minorEastAsia"/>
          <w:kern w:val="0"/>
          <w:sz w:val="24"/>
        </w:rPr>
        <w:t>为311人，实际毕业298人</w:t>
      </w:r>
      <w:r>
        <w:rPr>
          <w:rFonts w:asciiTheme="minorEastAsia" w:hAnsiTheme="minorEastAsia" w:eastAsiaTheme="minorEastAsia"/>
          <w:kern w:val="0"/>
          <w:sz w:val="24"/>
        </w:rPr>
        <w:t>，毕业率为</w:t>
      </w:r>
      <w:r>
        <w:rPr>
          <w:rFonts w:hint="eastAsia" w:asciiTheme="minorEastAsia" w:hAnsiTheme="minorEastAsia" w:eastAsiaTheme="minorEastAsia"/>
          <w:kern w:val="0"/>
          <w:sz w:val="24"/>
        </w:rPr>
        <w:t>95.82</w:t>
      </w:r>
      <w:r>
        <w:rPr>
          <w:rFonts w:asciiTheme="minorEastAsia" w:hAnsiTheme="minorEastAsia" w:eastAsiaTheme="minorEastAsia"/>
          <w:kern w:val="0"/>
          <w:sz w:val="24"/>
        </w:rPr>
        <w:t>%；授予学士学位</w:t>
      </w:r>
      <w:r>
        <w:rPr>
          <w:rFonts w:hint="eastAsia" w:asciiTheme="minorEastAsia" w:hAnsiTheme="minorEastAsia" w:eastAsiaTheme="minorEastAsia"/>
          <w:kern w:val="0"/>
          <w:sz w:val="24"/>
        </w:rPr>
        <w:t>297</w:t>
      </w:r>
      <w:r>
        <w:rPr>
          <w:rFonts w:asciiTheme="minorEastAsia" w:hAnsiTheme="minorEastAsia" w:eastAsiaTheme="minorEastAsia"/>
          <w:kern w:val="0"/>
          <w:sz w:val="24"/>
        </w:rPr>
        <w:t>人，学位授予率为</w:t>
      </w:r>
      <w:r>
        <w:rPr>
          <w:rFonts w:hint="eastAsia" w:asciiTheme="minorEastAsia" w:hAnsiTheme="minorEastAsia" w:eastAsiaTheme="minorEastAsia"/>
          <w:kern w:val="0"/>
          <w:sz w:val="24"/>
        </w:rPr>
        <w:t>95.50</w:t>
      </w:r>
      <w:r>
        <w:rPr>
          <w:rFonts w:asciiTheme="minorEastAsia" w:hAnsiTheme="minorEastAsia" w:eastAsiaTheme="minorEastAsia"/>
          <w:kern w:val="0"/>
          <w:sz w:val="24"/>
        </w:rPr>
        <w:t>%</w:t>
      </w:r>
      <w:r>
        <w:rPr>
          <w:rFonts w:hint="eastAsia" w:asciiTheme="minorEastAsia" w:hAnsiTheme="minorEastAsia" w:eastAsiaTheme="minorEastAsia"/>
          <w:kern w:val="0"/>
          <w:sz w:val="24"/>
        </w:rPr>
        <w:t>，初次就业率为36.91%；</w:t>
      </w:r>
      <w:r>
        <w:rPr>
          <w:rFonts w:asciiTheme="minorEastAsia" w:hAnsiTheme="minorEastAsia" w:eastAsiaTheme="minorEastAsia"/>
          <w:kern w:val="0"/>
          <w:sz w:val="24"/>
        </w:rPr>
        <w:t>大学英语国家四级考试通过率为</w:t>
      </w:r>
      <w:r>
        <w:rPr>
          <w:rFonts w:hint="eastAsia" w:asciiTheme="minorEastAsia" w:hAnsiTheme="minorEastAsia" w:eastAsiaTheme="minorEastAsia"/>
          <w:kern w:val="0"/>
          <w:sz w:val="24"/>
        </w:rPr>
        <w:t>22.15%</w:t>
      </w:r>
      <w:r>
        <w:rPr>
          <w:rFonts w:asciiTheme="minorEastAsia" w:hAnsiTheme="minorEastAsia" w:eastAsiaTheme="minorEastAsia"/>
          <w:kern w:val="0"/>
          <w:sz w:val="24"/>
        </w:rPr>
        <w:t>，</w:t>
      </w:r>
      <w:r>
        <w:rPr>
          <w:rFonts w:hint="eastAsia" w:asciiTheme="minorEastAsia" w:hAnsiTheme="minorEastAsia" w:eastAsiaTheme="minorEastAsia"/>
          <w:kern w:val="0"/>
          <w:sz w:val="24"/>
        </w:rPr>
        <w:t>六级通过率为2.76%，</w:t>
      </w:r>
      <w:r>
        <w:rPr>
          <w:rFonts w:asciiTheme="minorEastAsia" w:hAnsiTheme="minorEastAsia" w:eastAsiaTheme="minorEastAsia"/>
          <w:kern w:val="0"/>
          <w:sz w:val="24"/>
        </w:rPr>
        <w:t>体育测试达标率为</w:t>
      </w:r>
      <w:r>
        <w:rPr>
          <w:rFonts w:hint="eastAsia" w:asciiTheme="minorEastAsia" w:hAnsiTheme="minorEastAsia" w:eastAsiaTheme="minorEastAsia"/>
          <w:kern w:val="0"/>
          <w:sz w:val="24"/>
        </w:rPr>
        <w:t>92.08</w:t>
      </w:r>
      <w:r>
        <w:rPr>
          <w:rFonts w:asciiTheme="minorEastAsia" w:hAnsiTheme="minorEastAsia" w:eastAsiaTheme="minorEastAsia"/>
          <w:kern w:val="0"/>
          <w:sz w:val="24"/>
        </w:rPr>
        <w:t>%。</w:t>
      </w:r>
    </w:p>
    <w:p>
      <w:pPr>
        <w:numPr>
          <w:ilvl w:val="0"/>
          <w:numId w:val="6"/>
        </w:numPr>
        <w:jc w:val="left"/>
        <w:rPr>
          <w:rFonts w:ascii="Times New Roman" w:hAnsi="Times New Roman" w:eastAsia="黑体"/>
          <w:kern w:val="0"/>
          <w:sz w:val="28"/>
          <w:szCs w:val="28"/>
        </w:rPr>
      </w:pPr>
      <w:r>
        <w:rPr>
          <w:rFonts w:ascii="Times New Roman" w:hAnsi="黑体" w:eastAsia="黑体"/>
          <w:kern w:val="0"/>
          <w:sz w:val="28"/>
          <w:szCs w:val="28"/>
        </w:rPr>
        <w:t>攻读研究生</w:t>
      </w:r>
    </w:p>
    <w:p>
      <w:pPr>
        <w:adjustRightInd w:val="0"/>
        <w:snapToGrid w:val="0"/>
        <w:spacing w:line="400" w:lineRule="exact"/>
        <w:ind w:firstLine="480" w:firstLineChars="200"/>
        <w:rPr>
          <w:rFonts w:asciiTheme="minorEastAsia" w:hAnsiTheme="minorEastAsia" w:eastAsiaTheme="minorEastAsia"/>
          <w:kern w:val="0"/>
          <w:sz w:val="24"/>
        </w:rPr>
      </w:pPr>
      <w:r>
        <w:rPr>
          <w:rFonts w:ascii="Times New Roman" w:hAnsi="Times New Roman"/>
          <w:kern w:val="0"/>
          <w:sz w:val="24"/>
        </w:rPr>
        <w:t>2</w:t>
      </w:r>
      <w:r>
        <w:rPr>
          <w:rFonts w:asciiTheme="minorEastAsia" w:hAnsiTheme="minorEastAsia" w:eastAsiaTheme="minorEastAsia"/>
          <w:kern w:val="0"/>
          <w:sz w:val="24"/>
        </w:rPr>
        <w:t>01</w:t>
      </w:r>
      <w:r>
        <w:rPr>
          <w:rFonts w:hint="eastAsia" w:asciiTheme="minorEastAsia" w:hAnsiTheme="minorEastAsia" w:eastAsiaTheme="minorEastAsia"/>
          <w:kern w:val="0"/>
          <w:sz w:val="24"/>
        </w:rPr>
        <w:t>9</w:t>
      </w:r>
      <w:r>
        <w:rPr>
          <w:rFonts w:asciiTheme="minorEastAsia" w:hAnsiTheme="minorEastAsia" w:eastAsiaTheme="minorEastAsia"/>
          <w:kern w:val="0"/>
          <w:sz w:val="24"/>
        </w:rPr>
        <w:t>届本科毕业生，共计有</w:t>
      </w:r>
      <w:r>
        <w:rPr>
          <w:rFonts w:hint="eastAsia" w:asciiTheme="minorEastAsia" w:hAnsiTheme="minorEastAsia" w:eastAsiaTheme="minorEastAsia"/>
          <w:kern w:val="0"/>
          <w:sz w:val="24"/>
        </w:rPr>
        <w:t>128</w:t>
      </w:r>
      <w:r>
        <w:rPr>
          <w:rFonts w:asciiTheme="minorEastAsia" w:hAnsiTheme="minorEastAsia" w:eastAsiaTheme="minorEastAsia"/>
          <w:kern w:val="0"/>
          <w:sz w:val="24"/>
        </w:rPr>
        <w:t>名本科毕业生考取研究生，涉及</w:t>
      </w:r>
      <w:r>
        <w:rPr>
          <w:rFonts w:hint="eastAsia" w:asciiTheme="minorEastAsia" w:hAnsiTheme="minorEastAsia" w:eastAsiaTheme="minorEastAsia"/>
          <w:kern w:val="0"/>
          <w:sz w:val="24"/>
        </w:rPr>
        <w:t>化学、中国少数民族语言文学、思想政治教育、应用生物科学、物理学</w:t>
      </w:r>
      <w:r>
        <w:rPr>
          <w:rFonts w:asciiTheme="minorEastAsia" w:hAnsiTheme="minorEastAsia" w:eastAsiaTheme="minorEastAsia"/>
          <w:kern w:val="0"/>
          <w:sz w:val="24"/>
        </w:rPr>
        <w:t>等</w:t>
      </w:r>
      <w:r>
        <w:rPr>
          <w:rFonts w:hint="eastAsia" w:asciiTheme="minorEastAsia" w:hAnsiTheme="minorEastAsia" w:eastAsiaTheme="minorEastAsia"/>
          <w:kern w:val="0"/>
          <w:sz w:val="24"/>
        </w:rPr>
        <w:t>30</w:t>
      </w:r>
      <w:r>
        <w:rPr>
          <w:rFonts w:asciiTheme="minorEastAsia" w:hAnsiTheme="minorEastAsia" w:eastAsiaTheme="minorEastAsia"/>
          <w:kern w:val="0"/>
          <w:sz w:val="24"/>
        </w:rPr>
        <w:t>个专业，其中化学专业研究生考取率达到</w:t>
      </w:r>
      <w:r>
        <w:rPr>
          <w:rFonts w:hint="eastAsia" w:asciiTheme="minorEastAsia" w:hAnsiTheme="minorEastAsia" w:eastAsiaTheme="minorEastAsia"/>
          <w:kern w:val="0"/>
          <w:sz w:val="24"/>
        </w:rPr>
        <w:t>58.62</w:t>
      </w:r>
      <w:r>
        <w:rPr>
          <w:rFonts w:asciiTheme="minorEastAsia" w:hAnsiTheme="minorEastAsia" w:eastAsiaTheme="minorEastAsia"/>
          <w:kern w:val="0"/>
          <w:sz w:val="24"/>
        </w:rPr>
        <w:t>%。</w:t>
      </w:r>
    </w:p>
    <w:p>
      <w:pPr>
        <w:numPr>
          <w:ilvl w:val="0"/>
          <w:numId w:val="6"/>
        </w:numPr>
        <w:jc w:val="left"/>
        <w:rPr>
          <w:rFonts w:ascii="Times New Roman" w:hAnsi="Times New Roman" w:eastAsia="黑体"/>
          <w:kern w:val="0"/>
          <w:sz w:val="28"/>
          <w:szCs w:val="28"/>
        </w:rPr>
      </w:pPr>
      <w:r>
        <w:rPr>
          <w:rFonts w:ascii="Times New Roman" w:hAnsi="黑体" w:eastAsia="黑体"/>
          <w:kern w:val="0"/>
          <w:sz w:val="28"/>
          <w:szCs w:val="28"/>
        </w:rPr>
        <w:t>毕业生就业</w:t>
      </w:r>
      <w:r>
        <w:rPr>
          <w:rFonts w:hint="eastAsia" w:ascii="Times New Roman" w:hAnsi="黑体" w:eastAsia="黑体"/>
          <w:kern w:val="0"/>
          <w:sz w:val="28"/>
          <w:szCs w:val="28"/>
        </w:rPr>
        <w:t>及评价</w:t>
      </w:r>
    </w:p>
    <w:p>
      <w:pPr>
        <w:spacing w:line="400" w:lineRule="exact"/>
        <w:ind w:firstLine="480" w:firstLineChars="2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学校高度重视大学生就业创业工作，健全完善了《赤峰学院就业工作管理办法》等制度文件</w:t>
      </w:r>
      <w:r>
        <w:rPr>
          <w:rFonts w:hint="eastAsia" w:asciiTheme="minorEastAsia" w:hAnsiTheme="minorEastAsia" w:eastAsiaTheme="minorEastAsia"/>
          <w:color w:val="auto"/>
          <w:kern w:val="0"/>
          <w:sz w:val="24"/>
          <w:lang w:eastAsia="zh-CN"/>
        </w:rPr>
        <w:t>，</w:t>
      </w:r>
      <w:r>
        <w:rPr>
          <w:rFonts w:hint="eastAsia" w:asciiTheme="minorEastAsia" w:hAnsiTheme="minorEastAsia" w:eastAsiaTheme="minorEastAsia"/>
          <w:color w:val="auto"/>
          <w:kern w:val="0"/>
          <w:sz w:val="24"/>
        </w:rPr>
        <w:t>制定发布了《关于做好疫情防控期间毕业生就业指导服务工作的通知》、《赤峰学院2020年毕业生就业促进工作方案》、《赤峰学院关于二级学院2020届毕业生就业工作奖惩规定》、《关于进一步做好当前形势下建档立卡贫困家庭毕业生和蒙古语授课毕业生就业帮扶工作的通知》等文件</w:t>
      </w:r>
      <w:r>
        <w:rPr>
          <w:rFonts w:hint="eastAsia" w:asciiTheme="minorEastAsia" w:hAnsiTheme="minorEastAsia" w:eastAsiaTheme="minorEastAsia"/>
          <w:color w:val="auto"/>
          <w:kern w:val="0"/>
          <w:sz w:val="24"/>
          <w:lang w:eastAsia="zh-CN"/>
        </w:rPr>
        <w:t>。</w:t>
      </w:r>
      <w:r>
        <w:rPr>
          <w:rFonts w:hint="eastAsia" w:asciiTheme="minorEastAsia" w:hAnsiTheme="minorEastAsia" w:eastAsiaTheme="minorEastAsia"/>
          <w:color w:val="auto"/>
          <w:kern w:val="0"/>
          <w:sz w:val="24"/>
        </w:rPr>
        <w:t>不断强化校院两级“双组长制”,深入贯彻落实习近平总书记关于统筹推进疫情防控和经济社会发展工作的重要指示精神以及教育部、自治区教育厅关于疫情防控期间毕业生就业工作的有关文件精神，多措并举促就业，努力实现稳就业工作目标。</w:t>
      </w:r>
    </w:p>
    <w:p>
      <w:pPr>
        <w:spacing w:line="400" w:lineRule="exact"/>
        <w:ind w:firstLine="480" w:firstLineChars="200"/>
        <w:rPr>
          <w:rFonts w:hint="eastAsia" w:asciiTheme="minorEastAsia" w:hAnsiTheme="minorEastAsia" w:eastAsiaTheme="minorEastAsia"/>
          <w:color w:val="auto"/>
          <w:kern w:val="0"/>
          <w:sz w:val="24"/>
          <w:lang w:eastAsia="zh-CN"/>
        </w:rPr>
      </w:pPr>
      <w:r>
        <w:rPr>
          <w:rFonts w:hint="eastAsia" w:asciiTheme="minorEastAsia" w:hAnsiTheme="minorEastAsia" w:eastAsiaTheme="minorEastAsia"/>
          <w:color w:val="auto"/>
          <w:kern w:val="0"/>
          <w:sz w:val="24"/>
          <w:lang w:val="en-US" w:eastAsia="zh-CN"/>
        </w:rPr>
        <w:t>学校</w:t>
      </w:r>
      <w:r>
        <w:rPr>
          <w:rFonts w:hint="eastAsia" w:asciiTheme="minorEastAsia" w:hAnsiTheme="minorEastAsia" w:eastAsiaTheme="minorEastAsia"/>
          <w:color w:val="auto"/>
          <w:kern w:val="0"/>
          <w:sz w:val="24"/>
        </w:rPr>
        <w:t>成立了“赤峰学院2020届毕业生就业促进工作领导小组”，由党委书记和校长共同担任组长，其他领导班子成员担任副组长，各相关职能部门及二级学院负责人为成员，全面领导和统筹协调2020届毕业生就业促进工作；建立了领导包联责任制，强化各部门协同联动、充分发挥二级学院主体作用等方式，在全校范围内形成了“党委高度重视、党政齐抓共管、各单位狠抓落实、全体教师积极参与”的促就业良好态势</w:t>
      </w:r>
      <w:r>
        <w:rPr>
          <w:rFonts w:hint="eastAsia" w:asciiTheme="minorEastAsia" w:hAnsiTheme="minorEastAsia" w:eastAsiaTheme="minorEastAsia"/>
          <w:color w:val="auto"/>
          <w:kern w:val="0"/>
          <w:sz w:val="24"/>
          <w:lang w:eastAsia="zh-CN"/>
        </w:rPr>
        <w:t>。</w:t>
      </w:r>
    </w:p>
    <w:p>
      <w:pPr>
        <w:spacing w:line="400" w:lineRule="exact"/>
        <w:ind w:firstLine="480" w:firstLineChars="2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加强服务力度，开展多项就业创业指导服务活动。一是通过发布《赤峰学院致用人单位的一封信》、《赤峰学院致2020届毕业生的一封信》、《致赤峰学院2020届未就业毕业生的一封信》、组织开展2020年大学生就业创业指导服务月、“新途径”杯网络简历设计大赛，举办校院两级网络招聘会、分类专场招聘会，推送就业创业相关网上课程以及各类线上招聘会、新疆教师招聘、西部计划招聘、特岗教师招聘、事业单位及企业招聘等信息，推动实现供需网上有效对接。二是开展与企业深度合作，为学生定制免费线上直播课程，围绕公务员、教师编、事业编等考试提供指导。</w:t>
      </w:r>
    </w:p>
    <w:p>
      <w:pPr>
        <w:spacing w:line="400" w:lineRule="exact"/>
        <w:ind w:firstLine="480" w:firstLineChars="2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主动对接政府和企业，扩宽就业渠道。学校多渠道发布毕业生学科专业信息，主动联系用人单位，努力确保招聘需求岗位数较往年不减少。一是线下走访与对接政府和企业，推送就业岗位信息，先后走访对接赤峰一园四区、红山物流园区、天津内蒙赤峰商会、浙江绍兴越城区人社局、广东东莞人社局、赤峰中天地产等政府部门和企业，开辟就业岗位。共举办校院两级招聘会、宣讲会等活动59场次，吸纳企业950余家，提供就业岗位37000余个。二是学校领导班子利用暑假期间分成五个工作组分赴赤峰十二个旗县区及通辽地区与当地政府及就业主管部门对接，通过专场招聘会、 “一对一”推介等形式为毕业生提供就业岗位千余个。</w:t>
      </w:r>
    </w:p>
    <w:p>
      <w:pPr>
        <w:spacing w:line="400" w:lineRule="exact"/>
        <w:ind w:firstLine="480" w:firstLineChars="200"/>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建立完善信息统计报送工作机制。实行“日调度，周研判” 制度，编辑发布“赤峰学院就业工作一周快讯”，适时了解就业进展情况，通过建立信息报送工作机制，强化对就业工作的指导和监督，及时发现并解决问题。通过各项工作的有序开展，确保实现毕业生稳就业工作目标。截止2020年</w:t>
      </w:r>
      <w:r>
        <w:rPr>
          <w:rFonts w:hint="eastAsia" w:asciiTheme="minorEastAsia" w:hAnsiTheme="minorEastAsia" w:eastAsiaTheme="minorEastAsia"/>
          <w:color w:val="auto"/>
          <w:kern w:val="0"/>
          <w:sz w:val="24"/>
          <w:lang w:val="en-US" w:eastAsia="zh-CN"/>
        </w:rPr>
        <w:t>8</w:t>
      </w:r>
      <w:r>
        <w:rPr>
          <w:rFonts w:hint="eastAsia" w:asciiTheme="minorEastAsia" w:hAnsiTheme="minorEastAsia" w:eastAsiaTheme="minorEastAsia"/>
          <w:color w:val="auto"/>
          <w:kern w:val="0"/>
          <w:sz w:val="24"/>
        </w:rPr>
        <w:t>月</w:t>
      </w:r>
      <w:r>
        <w:rPr>
          <w:rFonts w:hint="eastAsia" w:asciiTheme="minorEastAsia" w:hAnsiTheme="minorEastAsia" w:eastAsiaTheme="minorEastAsia"/>
          <w:color w:val="auto"/>
          <w:kern w:val="0"/>
          <w:sz w:val="24"/>
          <w:lang w:val="en-US" w:eastAsia="zh-CN"/>
        </w:rPr>
        <w:t>31</w:t>
      </w:r>
      <w:r>
        <w:rPr>
          <w:rFonts w:hint="eastAsia" w:asciiTheme="minorEastAsia" w:hAnsiTheme="minorEastAsia" w:eastAsiaTheme="minorEastAsia"/>
          <w:color w:val="auto"/>
          <w:kern w:val="0"/>
          <w:sz w:val="24"/>
        </w:rPr>
        <w:t>日，我校2020届本科毕业生初次就业率为55.17%，毕业生就业区域分布于全国28个省、自治区、直辖市，但仍以区内就业为主，其中赤峰市就业人数占比为32.04%，近三届毕业生的工作与专业相关度呈现上升趋势。为有效建立就业工作反馈机制，落实“招生、就业、人才培养联动机制”，</w:t>
      </w:r>
      <w:r>
        <w:rPr>
          <w:rFonts w:hint="eastAsia" w:asciiTheme="minorEastAsia" w:hAnsiTheme="minorEastAsia" w:eastAsiaTheme="minorEastAsia"/>
          <w:color w:val="auto"/>
          <w:kern w:val="0"/>
          <w:sz w:val="24"/>
          <w:lang w:val="en-US" w:eastAsia="zh-CN"/>
        </w:rPr>
        <w:t>学</w:t>
      </w:r>
      <w:r>
        <w:rPr>
          <w:rFonts w:hint="eastAsia" w:asciiTheme="minorEastAsia" w:hAnsiTheme="minorEastAsia" w:eastAsiaTheme="minorEastAsia"/>
          <w:color w:val="auto"/>
          <w:kern w:val="0"/>
          <w:sz w:val="24"/>
        </w:rPr>
        <w:t>校积极开展2020届毕业生就业状况跟踪调查，目前调查工作正在准备阶段，调查结果将作为未来工作开展的有效依据。</w:t>
      </w:r>
    </w:p>
    <w:p>
      <w:pPr>
        <w:spacing w:line="400" w:lineRule="exact"/>
        <w:ind w:firstLine="600" w:firstLineChars="200"/>
        <w:rPr>
          <w:rFonts w:ascii="Times New Roman" w:hAnsi="Times New Roman" w:eastAsia="黑体"/>
          <w:kern w:val="0"/>
          <w:sz w:val="30"/>
          <w:szCs w:val="30"/>
        </w:rPr>
      </w:pPr>
      <w:r>
        <w:rPr>
          <w:rFonts w:hint="eastAsia" w:ascii="Times New Roman" w:hAnsi="黑体" w:eastAsia="黑体"/>
          <w:kern w:val="0"/>
          <w:sz w:val="30"/>
          <w:szCs w:val="30"/>
        </w:rPr>
        <w:t>七、</w:t>
      </w:r>
      <w:r>
        <w:rPr>
          <w:rFonts w:ascii="Times New Roman" w:hAnsi="黑体" w:eastAsia="黑体"/>
          <w:kern w:val="0"/>
          <w:sz w:val="30"/>
          <w:szCs w:val="30"/>
        </w:rPr>
        <w:t>特色发展</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秉承“融入赤峰、服务地方、突出特色、转型发展”的办学理念，以转型发展为主线，坚持开门开放办学，着力突出地方性、民族性的办学特色，在服务地方经济社会发展、传承与创新民族文化方面取得一定成绩，并以此为基础，不断打造强化学校的办学品牌。</w:t>
      </w:r>
    </w:p>
    <w:p>
      <w:pPr>
        <w:numPr>
          <w:ilvl w:val="0"/>
          <w:numId w:val="7"/>
        </w:numPr>
        <w:jc w:val="left"/>
        <w:rPr>
          <w:rFonts w:ascii="Times New Roman" w:hAnsi="Times New Roman" w:eastAsia="黑体"/>
          <w:kern w:val="0"/>
          <w:sz w:val="28"/>
          <w:szCs w:val="28"/>
        </w:rPr>
      </w:pPr>
      <w:r>
        <w:rPr>
          <w:rFonts w:hint="eastAsia" w:ascii="Times New Roman" w:hAnsi="黑体" w:eastAsia="黑体"/>
          <w:kern w:val="0"/>
          <w:sz w:val="28"/>
          <w:szCs w:val="28"/>
        </w:rPr>
        <w:t>稳步推进产教融合、校企合作，协同育人成效明显</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作为地方本科院校</w:t>
      </w:r>
      <w:r>
        <w:rPr>
          <w:rFonts w:hint="eastAsia" w:asciiTheme="minorEastAsia" w:hAnsiTheme="minorEastAsia" w:eastAsiaTheme="minorEastAsia"/>
          <w:kern w:val="0"/>
          <w:sz w:val="24"/>
        </w:rPr>
        <w:t>，</w:t>
      </w:r>
      <w:r>
        <w:rPr>
          <w:rFonts w:asciiTheme="minorEastAsia" w:hAnsiTheme="minorEastAsia" w:eastAsiaTheme="minorEastAsia"/>
          <w:kern w:val="0"/>
          <w:sz w:val="24"/>
        </w:rPr>
        <w:t>服务地方经济社会发展</w:t>
      </w:r>
      <w:r>
        <w:rPr>
          <w:rFonts w:hint="eastAsia" w:asciiTheme="minorEastAsia" w:hAnsiTheme="minorEastAsia" w:eastAsiaTheme="minorEastAsia"/>
          <w:kern w:val="0"/>
          <w:sz w:val="24"/>
        </w:rPr>
        <w:t>，</w:t>
      </w:r>
      <w:r>
        <w:rPr>
          <w:rFonts w:asciiTheme="minorEastAsia" w:hAnsiTheme="minorEastAsia" w:eastAsiaTheme="minorEastAsia"/>
          <w:kern w:val="0"/>
          <w:sz w:val="24"/>
        </w:rPr>
        <w:t>是学校办学价值的体现</w:t>
      </w:r>
      <w:r>
        <w:rPr>
          <w:rFonts w:hint="eastAsia" w:asciiTheme="minorEastAsia" w:hAnsiTheme="minorEastAsia" w:eastAsiaTheme="minorEastAsia"/>
          <w:kern w:val="0"/>
          <w:sz w:val="24"/>
        </w:rPr>
        <w:t>。学校</w:t>
      </w:r>
      <w:r>
        <w:rPr>
          <w:rFonts w:asciiTheme="minorEastAsia" w:hAnsiTheme="minorEastAsia" w:eastAsiaTheme="minorEastAsia"/>
          <w:kern w:val="0"/>
          <w:sz w:val="24"/>
        </w:rPr>
        <w:t>本着</w:t>
      </w:r>
      <w:r>
        <w:rPr>
          <w:rFonts w:hint="eastAsia" w:asciiTheme="minorEastAsia" w:hAnsiTheme="minorEastAsia" w:eastAsiaTheme="minorEastAsia"/>
          <w:kern w:val="0"/>
          <w:sz w:val="24"/>
        </w:rPr>
        <w:t>“以贡献求支持、以服务求发展”的办学理念，以满足服务地方行业、企业实际需求为导向，以“产教融合、校企合作、行业学院”为途径，引入行业、企业全方位参与专业建设、课程设置、人才培养和绩效评价，持续扩大专业共建规模，探索建立行业学院，增强传统专业办学活力，充分发挥了协同育人优势。2019年度，应用物理学等14个专业继续招收校企合作学生；积极推进了与北京“中清研”合作共建的电子商务学院，与北京“达内科技”合作共建的大数据学院，与清华大学、中国城镇供热协会合作共建的供热行业学院。</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强化对赤峰学院服务赤峰市经济社会发展应用项目的全程管理，全面进行2次督查和1次中期检查，并组织召开年中检查汇报会，形成专项报告。加强科研服务地方工作，围绕国家和自治区乡村振兴科技创新行动计划总体部署，根据学校科技服务地方工作现状，制定了《赤峰学院乡村振兴科技创新行动计划（2018—2022年）》。加强与地方政府及相关部门的沟通与联系，推进相关项目合作与开展，挂牌成立中国物流学会产学研基地、税校企合作示范基地，与市公安局、河北大学等签订了战略合作框架协议，与西北民族大学、中国医科大学等初步达成合作意向。</w:t>
      </w:r>
    </w:p>
    <w:p>
      <w:pPr>
        <w:spacing w:line="400" w:lineRule="exact"/>
        <w:ind w:firstLine="480" w:firstLineChars="200"/>
        <w:rPr>
          <w:rFonts w:ascii="Times New Roman" w:hAnsi="Times New Roman"/>
          <w:sz w:val="24"/>
        </w:rPr>
      </w:pPr>
      <w:r>
        <w:rPr>
          <w:rFonts w:hint="eastAsia" w:asciiTheme="minorEastAsia" w:hAnsiTheme="minorEastAsia" w:eastAsiaTheme="minorEastAsia"/>
          <w:kern w:val="0"/>
          <w:sz w:val="24"/>
        </w:rPr>
        <w:t>学校</w:t>
      </w:r>
      <w:r>
        <w:rPr>
          <w:rFonts w:asciiTheme="minorEastAsia" w:hAnsiTheme="minorEastAsia" w:eastAsiaTheme="minorEastAsia"/>
          <w:kern w:val="0"/>
          <w:sz w:val="24"/>
        </w:rPr>
        <w:t>积极推进专业与产业对接、专业培养与职业标准对接、教学过程与生产过程对接，有效促进了人才培养目标与产业人才需求对接，实现了校企协同育人，提高了人才培养质量和就业能力。</w:t>
      </w:r>
    </w:p>
    <w:p>
      <w:pPr>
        <w:numPr>
          <w:ilvl w:val="0"/>
          <w:numId w:val="7"/>
        </w:numPr>
        <w:jc w:val="left"/>
        <w:rPr>
          <w:rFonts w:ascii="Times New Roman" w:hAnsi="Times New Roman" w:eastAsia="黑体"/>
          <w:kern w:val="0"/>
          <w:sz w:val="28"/>
          <w:szCs w:val="28"/>
        </w:rPr>
      </w:pPr>
      <w:r>
        <w:rPr>
          <w:rFonts w:hint="eastAsia" w:ascii="Times New Roman" w:hAnsi="黑体" w:eastAsia="黑体"/>
          <w:kern w:val="0"/>
          <w:sz w:val="28"/>
          <w:szCs w:val="28"/>
        </w:rPr>
        <w:t>凭借</w:t>
      </w:r>
      <w:r>
        <w:rPr>
          <w:rFonts w:ascii="Times New Roman" w:hAnsi="黑体" w:eastAsia="黑体"/>
          <w:kern w:val="0"/>
          <w:sz w:val="28"/>
          <w:szCs w:val="28"/>
        </w:rPr>
        <w:t>地缘优势</w:t>
      </w:r>
      <w:r>
        <w:rPr>
          <w:rFonts w:hint="eastAsia" w:ascii="Times New Roman" w:hAnsi="黑体" w:eastAsia="黑体"/>
          <w:kern w:val="0"/>
          <w:sz w:val="28"/>
          <w:szCs w:val="28"/>
        </w:rPr>
        <w:t>，培育特色学科</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赤峰市历史悠久，文化底蕴深厚，是红山文化发祥地、北方诸多游牧民族发源地、契丹辽王朝故都，有着厚重的历史文化资源。学校凭借独特的地域优势和厚重的人文资源优势，以红山文化研究和契丹辽文化研究为突破口，充分发挥人才培养、科学研究、社会服务、文化传承与创新、国际交流合作五大功能，经过多年的建设发展，取得了令人瞩目的成绩。目前，学校红山文化研究和契丹辽文化研究在国内和国际上已拥有较高的知名度，“红山学”和“契丹学”学科体系建设已初步完成。2013年，学校开始正式招收文博硕士专业学位研究生，2019年还增招了学科教学（历史）专业硕士研究生。学校从当前学科建设角度出发，进一步凝聚力量将已有学科优势推向新的发展高度，以中国史、世界史、考古学教研室为核心，继续优化资源配置，努力打造一流专业，整合校内师资力量，申报了自治区高校人文社科重点研究基地“红山文化研究基地”并获得批准，成为我校第一个自治区高校哲学社会科学重点研究基地，使我校自治区级哲学社会科学研究基地增至7个；积极申报双万计划和教育部基础学科拔尖学生培养基地，搭建了北方民族文化研究所、欧亚草原历史与考古研究所、口述史研究所3个院级研究机构。为进一步提升特色办学水平和学科发展力量，充分发挥人才、平台、团队等方面的优势，2019年度我校先后与东部师范大学、长春师范大学等高校就人才培养、学科建设、教师学生的交流合作等方面内容达成了相关合作协议。2019年度，李俊义教授主持的《元代奎章阁收藏书画史料整理与研究》获批国家社科基金冷门“绝学”和国别史等研究专项项目立项，获批自治区教育厅项目2项，校级项目5项；发表科研论文 17篇，出版著作1部；主办了第四届赤峰考古论坛，来自的北京大学、清华大学、吉林大学、山东大学、中山大学、辽宁大学、内蒙古大学、广西师范大学、内蒙古师范大学等国内多所高校的硕士博士研究生参加，极大提升了学科专业在国内的影响力。</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w:t>
      </w:r>
      <w:r>
        <w:rPr>
          <w:rFonts w:hint="eastAsia" w:asciiTheme="minorEastAsia" w:hAnsiTheme="minorEastAsia" w:eastAsiaTheme="minorEastAsia"/>
          <w:kern w:val="0"/>
          <w:sz w:val="24"/>
        </w:rPr>
        <w:t>教师教育</w:t>
      </w:r>
      <w:r>
        <w:rPr>
          <w:rFonts w:asciiTheme="minorEastAsia" w:hAnsiTheme="minorEastAsia" w:eastAsiaTheme="minorEastAsia"/>
          <w:kern w:val="0"/>
          <w:sz w:val="24"/>
        </w:rPr>
        <w:t>类专业拥有优良的办学传统和历史积淀。2019</w:t>
      </w:r>
      <w:r>
        <w:rPr>
          <w:rFonts w:hint="eastAsia" w:asciiTheme="minorEastAsia" w:hAnsiTheme="minorEastAsia" w:eastAsiaTheme="minorEastAsia"/>
          <w:kern w:val="0"/>
          <w:sz w:val="24"/>
        </w:rPr>
        <w:t>年5月，学校整合了汉语言文学教育、英语语言文学教育和数学教育专业的师资和教育资源，成立了师范学院。同年，学校上报自治区教育厅，教育硕士新增学科教学（数学）、学科教学（生物）、学科教学（地理）、小学教育等方向和领域，为保障相关专业人才培养质量，在教学团队建设和科研工作方面，采取引进来与走出去相结合的办法，聘请名校博导任客座教授，从学科专业高度指导师范学院的教学与科研工作；同时学校在师资队伍建设、基础设施建设、仪器设备购置、学科专业发展等方面都给予了大量人力物力支持。</w:t>
      </w:r>
    </w:p>
    <w:p>
      <w:pPr>
        <w:ind w:left="29" w:leftChars="14" w:firstLine="560" w:firstLineChars="200"/>
        <w:jc w:val="left"/>
        <w:rPr>
          <w:rFonts w:hint="default" w:ascii="黑体" w:hAnsi="黑体" w:eastAsia="黑体"/>
          <w:kern w:val="0"/>
          <w:sz w:val="28"/>
          <w:szCs w:val="28"/>
          <w:lang w:val="en-US" w:eastAsia="zh-CN"/>
        </w:rPr>
      </w:pPr>
      <w:r>
        <w:rPr>
          <w:rFonts w:hint="eastAsia" w:ascii="Times New Roman" w:hAnsi="Times New Roman" w:eastAsia="黑体"/>
          <w:kern w:val="0"/>
          <w:sz w:val="28"/>
          <w:szCs w:val="28"/>
        </w:rPr>
        <w:t>（三</w:t>
      </w:r>
      <w:r>
        <w:rPr>
          <w:rFonts w:hint="eastAsia" w:ascii="黑体" w:hAnsi="黑体" w:eastAsia="黑体"/>
          <w:kern w:val="0"/>
          <w:sz w:val="28"/>
          <w:szCs w:val="28"/>
          <w:highlight w:val="none"/>
        </w:rPr>
        <w:t>）发挥共建优势，</w:t>
      </w:r>
      <w:r>
        <w:rPr>
          <w:rFonts w:hint="eastAsia" w:ascii="黑体" w:hAnsi="黑体" w:eastAsia="黑体"/>
          <w:kern w:val="0"/>
          <w:sz w:val="28"/>
          <w:szCs w:val="28"/>
          <w:highlight w:val="none"/>
          <w:lang w:val="en-US" w:eastAsia="zh-CN"/>
        </w:rPr>
        <w:t>为建设赤峰大学而奋斗</w:t>
      </w:r>
    </w:p>
    <w:p>
      <w:pPr>
        <w:spacing w:line="400" w:lineRule="exact"/>
        <w:ind w:firstLine="480" w:firstLineChars="200"/>
        <w:rPr>
          <w:rFonts w:hint="eastAsia" w:asciiTheme="minorEastAsia" w:hAnsiTheme="minorEastAsia" w:eastAsiaTheme="minorEastAsia"/>
          <w:kern w:val="0"/>
          <w:sz w:val="24"/>
        </w:rPr>
      </w:pPr>
      <w:r>
        <w:rPr>
          <w:rFonts w:hint="eastAsia" w:asciiTheme="minorEastAsia" w:hAnsiTheme="minorEastAsia" w:eastAsiaTheme="minorEastAsia"/>
          <w:kern w:val="0"/>
          <w:sz w:val="24"/>
        </w:rPr>
        <w:t>赤峰学院是自治区和赤峰市“共建共管、以市为主”的一所地方本科院校，在办学体制上具有与地方政府直接对接合作的独特优势。2016年3月1日，在学校申报转型发展试点院校过程中，赤峰市人民政府下发了《赤峰市人民政府关于赤峰学院申报转型发展试点学校的批复》（赤政字﹝2016﹞32号），明确提出大力支持赤峰学院申报自治区本科高校转型发展试点学院，“十三五”期间，市政府每年划拨2000万经费用于支持学院发展，同时在人才引进、招生就业、产教融合、协同创新等方面给予相关政策支持。</w:t>
      </w:r>
    </w:p>
    <w:p>
      <w:pPr>
        <w:spacing w:line="400" w:lineRule="exact"/>
        <w:ind w:firstLine="480" w:firstLineChars="2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鉴于学校在长期办学实践中取得的显著成效和良好发展态势，2019年初，学校在第三次党代会报告中提出了创建赤峰大学的奋斗目标，力争在“十四五”末期（2025年）全面达到更名为赤峰大学的总体目标要求，综合实力进入自治区内高校第一方阵；到赤峰学院升本30周年（2033年）时，进一步提高办学水平和综合实力，努力实现全面跨越发展，初步建成一所学科门类齐全、师资力量雄厚，位居自治区一流、在东北地区有广泛影响力、在全国有较高知名度的具有鲜明地方和民族特色的应用型综合大学。</w:t>
      </w:r>
    </w:p>
    <w:p>
      <w:pPr>
        <w:spacing w:line="400" w:lineRule="exact"/>
        <w:ind w:firstLine="480" w:firstLineChars="2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赤峰市委政府高度重视，鼎力支持创建赤峰大学。2019年1月，赤峰市委七届八次全委（扩大）会议和赤峰市七届二次人代会对“支持赤峰学院改善办学条件，推进赤峰大学建设”作出部署。2019年3月，赤峰市政协把“关于推进赤峰大学建设”确定为赤峰市2019年度政协常委会专题协商议题，市政协副主席于凤先同志带领调研组实地考察了2018年国家批准由学院升格为大学的成都大学、南宁师范大学、北部湾大学，并形成了高质量的调研报告。2019年12月，赤峰市委书记孟宪东同志对《关于在赤峰学院基础上建设赤峰大学的专题协商报告》（赤政协发〔2019〕4号）做出重要批示，要求市直各单位全力支持赤峰大学建设。2020年4月，赤峰市委书记孟宪东同志、市长王旺盛同志等主要领导对于学校报送的《关于在赤峰学院基础上创建赤峰大学的报告》（赤院党字〔2020〕6号）再次作出重要批示。2020年4月，市长王旺盛同志在赤峰市第七届人民代表大会第三次会议上的《2020年政府工作报告》中，强调“支持赤峰学院创建赤峰大学”。2020年5月，赤峰市委常委、副市长生效友同志来学校专题调研指导创建赤峰大学工作。2020年7月，赤峰市副市长陈占英同志来学校进一步调研指导赤峰大学建设工作。此外，赤峰市发改委、市教育局、市财政局、市自然资源局等单位和部门负责同志多次来学校就创建赤峰大学工作展开调研，并积极推进相关工作。</w:t>
      </w:r>
    </w:p>
    <w:p>
      <w:pPr>
        <w:spacing w:line="400" w:lineRule="exact"/>
        <w:ind w:firstLine="480" w:firstLineChars="2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为支持赤峰学院建设发展，赤峰市已无偿划拨给学校320亩建设用地，拓展了学校的发展空间。同时，赤峰市政府正在积极推动解决学校供水管网、用电专线、燃气管道等相关市政基础设施建设中存在的困难。近两年，赤峰市先后投入5000万元支持学校硕士学位授权点建设，其中包括人才队伍建设经费1500万元、科研专项经费3500万元。2020年，一次性投入2000万元支持校园环境提升工程建设。同时，赤峰市将赤峰学院引进的高层次人才纳入赤峰市“玉龙人才公寓”项目，在住房、配偶安置、子女入学等方面给予特殊政策支持</w:t>
      </w:r>
      <w:r>
        <w:rPr>
          <w:rFonts w:hint="eastAsia" w:asciiTheme="minorEastAsia" w:hAnsiTheme="minorEastAsia" w:eastAsiaTheme="minorEastAsia"/>
          <w:color w:val="auto"/>
          <w:kern w:val="0"/>
          <w:sz w:val="24"/>
          <w:lang w:eastAsia="zh-CN"/>
        </w:rPr>
        <w:t>，</w:t>
      </w:r>
      <w:r>
        <w:rPr>
          <w:rFonts w:hint="eastAsia" w:asciiTheme="minorEastAsia" w:hAnsiTheme="minorEastAsia" w:eastAsiaTheme="minorEastAsia"/>
          <w:color w:val="auto"/>
          <w:kern w:val="0"/>
          <w:sz w:val="24"/>
        </w:rPr>
        <w:t>这些举措为学校高质量发展营造了良好的外部发展环境。</w:t>
      </w:r>
      <w:bookmarkStart w:id="2" w:name="_GoBack"/>
      <w:bookmarkEnd w:id="2"/>
    </w:p>
    <w:p>
      <w:pPr>
        <w:ind w:left="450"/>
        <w:jc w:val="left"/>
        <w:rPr>
          <w:rFonts w:ascii="黑体" w:hAnsi="黑体" w:eastAsia="黑体"/>
          <w:kern w:val="0"/>
          <w:sz w:val="28"/>
          <w:szCs w:val="28"/>
        </w:rPr>
      </w:pPr>
      <w:r>
        <w:rPr>
          <w:rFonts w:hint="eastAsia" w:ascii="黑体" w:hAnsi="黑体" w:eastAsia="黑体"/>
          <w:kern w:val="0"/>
          <w:sz w:val="28"/>
          <w:szCs w:val="28"/>
        </w:rPr>
        <w:t>（四）持续强化</w:t>
      </w:r>
      <w:r>
        <w:rPr>
          <w:rFonts w:ascii="黑体" w:hAnsi="黑体" w:eastAsia="黑体"/>
          <w:kern w:val="0"/>
          <w:sz w:val="28"/>
          <w:szCs w:val="28"/>
        </w:rPr>
        <w:t>ISEC</w:t>
      </w:r>
      <w:r>
        <w:rPr>
          <w:rFonts w:hint="eastAsia" w:ascii="黑体" w:hAnsi="黑体" w:eastAsia="黑体"/>
          <w:kern w:val="0"/>
          <w:sz w:val="28"/>
          <w:szCs w:val="28"/>
        </w:rPr>
        <w:t>、U-G-S模式，</w:t>
      </w:r>
      <w:r>
        <w:rPr>
          <w:rFonts w:ascii="黑体" w:hAnsi="黑体" w:eastAsia="黑体"/>
          <w:kern w:val="0"/>
          <w:sz w:val="28"/>
          <w:szCs w:val="28"/>
        </w:rPr>
        <w:t>促进教育教学工作模式创新</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学校积极引进国家留学基金委“ISEC”国际学术本科互认课程项目，</w:t>
      </w:r>
      <w:r>
        <w:rPr>
          <w:rFonts w:asciiTheme="minorEastAsia" w:hAnsiTheme="minorEastAsia" w:eastAsiaTheme="minorEastAsia"/>
          <w:kern w:val="0"/>
          <w:sz w:val="24"/>
        </w:rPr>
        <w:t>制定和实施具有国际化特色的人才培养方案和模式。</w:t>
      </w:r>
      <w:r>
        <w:rPr>
          <w:rFonts w:hint="eastAsia" w:asciiTheme="minorEastAsia" w:hAnsiTheme="minorEastAsia" w:eastAsiaTheme="minorEastAsia"/>
          <w:kern w:val="0"/>
          <w:sz w:val="24"/>
        </w:rPr>
        <w:t>该项目强化“以学生为中心”的教学理念，</w:t>
      </w:r>
      <w:r>
        <w:rPr>
          <w:rFonts w:asciiTheme="minorEastAsia" w:hAnsiTheme="minorEastAsia" w:eastAsiaTheme="minorEastAsia"/>
          <w:kern w:val="0"/>
          <w:sz w:val="24"/>
        </w:rPr>
        <w:t>基于成果导向的人才培养理念、重视通识教育理念、过程化考核理念、教师培养模式和内审制度等理念为教学改革提供了一定参照</w:t>
      </w:r>
      <w:r>
        <w:rPr>
          <w:rFonts w:hint="eastAsia" w:asciiTheme="minorEastAsia" w:hAnsiTheme="minorEastAsia" w:eastAsiaTheme="minorEastAsia"/>
          <w:kern w:val="0"/>
          <w:sz w:val="24"/>
        </w:rPr>
        <w:t>，为学校的转型发展和应用型人才培养做出了积极贡献。</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学校积极引导</w:t>
      </w:r>
      <w:r>
        <w:rPr>
          <w:rFonts w:hint="eastAsia" w:asciiTheme="minorEastAsia" w:hAnsiTheme="minorEastAsia" w:eastAsiaTheme="minorEastAsia"/>
          <w:kern w:val="0"/>
          <w:sz w:val="24"/>
        </w:rPr>
        <w:t>深化思政课教学模式改革，实施“对分课堂”教学模式。倡导案例式、合作式、参与式教学，积极探索符合课堂教学模式改革的考核评价方式改革，引导教师转变课堂教学模式</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rPr>
        <w:t>倡导由终结性评价向过程性评价进行转变，近百门课程实施了过程化考核。2019年度，应用ISEC理念进行授课的课程</w:t>
      </w:r>
      <w:r>
        <w:rPr>
          <w:rFonts w:hint="eastAsia" w:asciiTheme="minorEastAsia" w:hAnsiTheme="minorEastAsia" w:eastAsiaTheme="minorEastAsia"/>
          <w:kern w:val="0"/>
          <w:sz w:val="24"/>
          <w:lang w:val="en-US" w:eastAsia="zh-CN"/>
        </w:rPr>
        <w:t>增加至</w:t>
      </w:r>
      <w:r>
        <w:rPr>
          <w:rFonts w:hint="eastAsia" w:asciiTheme="minorEastAsia" w:hAnsiTheme="minorEastAsia" w:eastAsiaTheme="minorEastAsia"/>
          <w:kern w:val="0"/>
          <w:sz w:val="24"/>
        </w:rPr>
        <w:t>300余门，由企业方</w:t>
      </w:r>
      <w:r>
        <w:rPr>
          <w:rFonts w:hint="eastAsia" w:asciiTheme="minorEastAsia" w:hAnsiTheme="minorEastAsia" w:eastAsiaTheme="minorEastAsia"/>
          <w:kern w:val="0"/>
          <w:sz w:val="24"/>
          <w:lang w:val="en-US" w:eastAsia="zh-CN"/>
        </w:rPr>
        <w:t>在</w:t>
      </w:r>
      <w:r>
        <w:rPr>
          <w:rFonts w:hint="eastAsia" w:asciiTheme="minorEastAsia" w:hAnsiTheme="minorEastAsia" w:eastAsiaTheme="minorEastAsia"/>
          <w:kern w:val="0"/>
          <w:sz w:val="24"/>
        </w:rPr>
        <w:t>校企合作的办学模式下嵌入课程100余门</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rPr>
        <w:t>结合师范类专业认证标准，延长师范生教育实习时间，加强实习实训基地建设，新增蒙授师范类专业教育实习基地30余个，U-G-S教育实习基地总数达240个，实行动态管理，有效推进</w:t>
      </w:r>
      <w:r>
        <w:rPr>
          <w:rFonts w:hint="eastAsia" w:asciiTheme="minorEastAsia" w:hAnsiTheme="minorEastAsia" w:eastAsiaTheme="minorEastAsia"/>
          <w:kern w:val="0"/>
          <w:sz w:val="24"/>
          <w:lang w:val="en-US" w:eastAsia="zh-CN"/>
        </w:rPr>
        <w:t>了</w:t>
      </w:r>
      <w:r>
        <w:rPr>
          <w:rFonts w:hint="eastAsia" w:asciiTheme="minorEastAsia" w:hAnsiTheme="minorEastAsia" w:eastAsiaTheme="minorEastAsia"/>
          <w:kern w:val="0"/>
          <w:sz w:val="24"/>
        </w:rPr>
        <w:t>师范生教育实习工作</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lang w:val="en-US" w:eastAsia="zh-CN"/>
        </w:rPr>
        <w:t>并</w:t>
      </w:r>
      <w:r>
        <w:rPr>
          <w:rFonts w:hint="eastAsia" w:asciiTheme="minorEastAsia" w:hAnsiTheme="minorEastAsia" w:eastAsiaTheme="minorEastAsia"/>
          <w:kern w:val="0"/>
          <w:sz w:val="24"/>
        </w:rPr>
        <w:t>取得了良好效果。</w:t>
      </w:r>
    </w:p>
    <w:p>
      <w:pPr>
        <w:spacing w:line="400" w:lineRule="exact"/>
        <w:ind w:firstLine="600" w:firstLineChars="200"/>
        <w:rPr>
          <w:rFonts w:ascii="Times New Roman" w:hAnsi="Times New Roman" w:eastAsia="黑体"/>
          <w:kern w:val="0"/>
          <w:sz w:val="30"/>
          <w:szCs w:val="30"/>
        </w:rPr>
      </w:pPr>
      <w:r>
        <w:rPr>
          <w:rFonts w:hint="eastAsia" w:ascii="Times New Roman" w:hAnsi="黑体" w:eastAsia="黑体"/>
          <w:kern w:val="0"/>
          <w:sz w:val="30"/>
          <w:szCs w:val="30"/>
        </w:rPr>
        <w:t>八、</w:t>
      </w:r>
      <w:r>
        <w:rPr>
          <w:rFonts w:ascii="Times New Roman" w:hAnsi="黑体" w:eastAsia="黑体"/>
          <w:kern w:val="0"/>
          <w:sz w:val="30"/>
          <w:szCs w:val="30"/>
        </w:rPr>
        <w:t>需要解决的问题</w:t>
      </w:r>
    </w:p>
    <w:p>
      <w:pPr>
        <w:numPr>
          <w:ilvl w:val="0"/>
          <w:numId w:val="8"/>
        </w:numPr>
        <w:jc w:val="left"/>
        <w:rPr>
          <w:rFonts w:ascii="黑体" w:hAnsi="黑体" w:eastAsia="黑体"/>
          <w:kern w:val="0"/>
          <w:sz w:val="28"/>
          <w:szCs w:val="28"/>
        </w:rPr>
      </w:pPr>
      <w:r>
        <w:rPr>
          <w:rFonts w:hint="eastAsia" w:ascii="黑体" w:hAnsi="黑体" w:eastAsia="黑体"/>
          <w:kern w:val="0"/>
          <w:sz w:val="28"/>
          <w:szCs w:val="28"/>
        </w:rPr>
        <w:t>校院两级管理体制改革仍需深入推进</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为深入推进校院两级管理体制改革，落实校院两级管理体制改革各项工作任务，进一步理顺学校与二级学院的权责关系，构建科学规范的校院两级管理体制，使二级学院逐步成为相对独立的办学实体，充分发挥二级学院办学积极性和创造性，在广泛调研、认真讨论、深入研究、征求意见建议基础上，制定并实施了《赤峰学院全面深化校院两级管理体制改革实施方案（试行）》《赤峰学院二级学院主要工作运行工作（试行）》《赤峰学院校院两级管理体制改革推进方案》。对2017年确定的7个校院两级管理体制改革试点二级学院的主要领导通过访谈、座谈等方式，全面了解了试点单位试点工作运行情况、取得的成效、经验、存在的问题、意见建议。走访了学校主要党政部门，和党政部门班子进行了深度交流，全面征求了各部门的意见建议。通过座谈会的形式，征求了非试点二级学院书记、院长的意见，赴内蒙古工业大学进行校院两级管理体制改革专项调研工作。组织各党政管理部门、群团机构、教辅机构、二级学院学习传达学校领导关于校院两级管理体制改革相关讲话精神，就两级管理体制改革问题进行深入系统研讨；组织校院两级管理体制下的财务管理、人事管理、教学管理、科研管理等方面相关知识、政策措施、实务操作技能等方面的培训；组织各党政管理部门、群团机构、教辅机构制修订校园两级管理体制改革配套政策文件25个、规章制度52个、工作流程17个。</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校院两级管理体制改革取得了一定的成果，但在实际工作中，仍存在研究不够、把握不准、落实不到位等问题。需进一步加强宣传报道，营造舆论氛围，引导二级学院党员干部解放思想、更新观念，开展调查研究工作，与相关部门共同组织推进校院两级管理体制改革，深化与各级部门的交流与沟通，进一步开阔视野，开拓思路，自觉地用习近平新时代中国特色社会主义思想指导工作实践，查找运行过程中的具体问题，及时总结调整。</w:t>
      </w:r>
    </w:p>
    <w:p>
      <w:pPr>
        <w:numPr>
          <w:ilvl w:val="0"/>
          <w:numId w:val="8"/>
        </w:numPr>
        <w:jc w:val="left"/>
        <w:rPr>
          <w:rFonts w:ascii="黑体" w:hAnsi="黑体" w:eastAsia="黑体"/>
          <w:kern w:val="0"/>
          <w:sz w:val="28"/>
          <w:szCs w:val="28"/>
        </w:rPr>
      </w:pPr>
      <w:r>
        <w:rPr>
          <w:rFonts w:hint="eastAsia" w:ascii="黑体" w:hAnsi="黑体" w:eastAsia="黑体"/>
          <w:kern w:val="0"/>
          <w:sz w:val="28"/>
          <w:szCs w:val="28"/>
        </w:rPr>
        <w:t>缺乏科研领军人才，团队实力亟待提升</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按照《赤峰学院“十三五”改革与发展规划》中“把赤峰学院打造成为内蒙古中东部地区重要的人才高地和科技文化创新与服务基地，把赤峰学院办成应用性综合大学”的目标，学校科研工作在学科建设、科技研发、科技成果转化、服务地方等方面与自治区、赤峰经济社会发展要求之间还存在一定的差距，还需要进一步更新观念、转换思路、转型发展。</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科研团队建设取得了一定的成绩，目前已有自治区级科技创新平台10个（自治区级哲学社会科学研究基地7个、自治区级重点实验室3个），市级研究机构2个，与地方企事业单位合作的研究机构2个，红山文化研究院等赤峰学院研究机构8个，新建二级单位级研究机构35个，赤峰学院科研创新团队10个，但是教师科研团队协作能力还需加强，科研创新团队在应用研究、成果转化方面还需加强，尤其是缺乏高水平的领军人才，在承担重大攻关课题方面的能力还有待进一步提升。在农业、牧业、旅游业、文化产业等方面，科研服务地方项目取得了一些可喜成果，但服务地方形式单一，在地方经济建设和政策引领方面的话语权和影响力不足，服务地方的能力和水平还有待于进一步提升。</w:t>
      </w:r>
    </w:p>
    <w:p>
      <w:pPr>
        <w:numPr>
          <w:ilvl w:val="0"/>
          <w:numId w:val="8"/>
        </w:numPr>
        <w:jc w:val="left"/>
        <w:rPr>
          <w:rFonts w:ascii="黑体" w:hAnsi="黑体" w:eastAsia="黑体"/>
          <w:kern w:val="0"/>
          <w:sz w:val="28"/>
          <w:szCs w:val="28"/>
        </w:rPr>
      </w:pPr>
      <w:r>
        <w:rPr>
          <w:rFonts w:hint="eastAsia" w:ascii="黑体" w:hAnsi="黑体" w:eastAsia="黑体"/>
          <w:kern w:val="0"/>
          <w:sz w:val="28"/>
          <w:szCs w:val="28"/>
        </w:rPr>
        <w:t>教育教学改革需进一步推进</w:t>
      </w:r>
    </w:p>
    <w:p>
      <w:pPr>
        <w:spacing w:line="400" w:lineRule="exact"/>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学校制定了落实</w:t>
      </w:r>
      <w:r>
        <w:rPr>
          <w:rFonts w:hint="eastAsia" w:asciiTheme="minorEastAsia" w:hAnsiTheme="minorEastAsia" w:eastAsiaTheme="minorEastAsia"/>
          <w:kern w:val="0"/>
          <w:sz w:val="24"/>
        </w:rPr>
        <w:t>教育教学</w:t>
      </w:r>
      <w:r>
        <w:rPr>
          <w:rFonts w:asciiTheme="minorEastAsia" w:hAnsiTheme="minorEastAsia" w:eastAsiaTheme="minorEastAsia"/>
          <w:kern w:val="0"/>
          <w:sz w:val="24"/>
        </w:rPr>
        <w:t>的相关政策和措施，</w:t>
      </w:r>
      <w:r>
        <w:rPr>
          <w:rFonts w:hint="eastAsia" w:asciiTheme="minorEastAsia" w:hAnsiTheme="minorEastAsia" w:eastAsiaTheme="minorEastAsia"/>
          <w:kern w:val="0"/>
          <w:sz w:val="24"/>
        </w:rPr>
        <w:t>积极探索符合课堂教学模式改革的考核评价方式，拟取消期中考试周，借鉴ISEC课程过程性考核评价方式，倡导由终结性评价向过程性评价进行转变，倡导多样化、多层次、多元化的现代化考核评价体系，结合课程性质科学设计合理的考核方式和考核形式。2019年，近百门课程已实施了过程化考核，多门课程采取机考模式，在所有思政课程中实施“对分课堂”教学模式，面向全校学生推广使用《思想政治理论课学习手册》，课堂教学过程中以学生为中心，提高了学生学习效果，促进了课堂教学从“教的会”向“学得会”转变，突出体现了学生中心地位和学习主体地位。通过召开教学工作研讨会、经验交流会、教学沙龙等多种方式推广教学研究成果，鼓励教师将“双改”教学研究与改革应用到课程教学中，有力促进了教学改革，取得了一定的成效。但课堂教学模式、考核评价方式、毕业论文管理等改革有待进一步推进，现代信息技术与教育教学深度融合需要进一步强化，教学质量监控信息的分析反馈利用及教学质量改进机制需要进一步完善，专任教师队伍的教育教学水平和教学管理队伍的管理水平有待进一步提高。就业指导和服务仍需进一步加强，虽然就业指导服务不断提高，但基地建设略显薄弱，就业数据核查力度还不够，毕业生跟踪调查的最佳方法还需研究，就业困难群体帮扶措施还需丰富，信息平台作用发挥不够充分。</w:t>
      </w:r>
    </w:p>
    <w:p>
      <w:pPr>
        <w:spacing w:line="4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学校高度重视创新创业教育，但推进创新创业教育的路程还很长，立足赤峰实际，发挥我校优势，构建以政府为主导、学校为主体、行业企业为支撑相互融合的创新创业生态系统建设还不够。孵化基地载体作用发挥还不够充分，创新创业教育课程体系建设有差距，专创融合需要</w:t>
      </w:r>
      <w:r>
        <w:rPr>
          <w:rFonts w:hint="eastAsia" w:asciiTheme="minorEastAsia" w:hAnsiTheme="minorEastAsia" w:eastAsiaTheme="minorEastAsia"/>
          <w:kern w:val="0"/>
          <w:sz w:val="24"/>
          <w:lang w:val="en-US" w:eastAsia="zh-CN"/>
        </w:rPr>
        <w:t>深入</w:t>
      </w:r>
      <w:r>
        <w:rPr>
          <w:rFonts w:hint="eastAsia" w:asciiTheme="minorEastAsia" w:hAnsiTheme="minorEastAsia" w:eastAsiaTheme="minorEastAsia"/>
          <w:kern w:val="0"/>
          <w:sz w:val="24"/>
        </w:rPr>
        <w:t>推进。</w:t>
      </w:r>
    </w:p>
    <w:p>
      <w:pPr>
        <w:spacing w:line="500" w:lineRule="exact"/>
        <w:ind w:firstLine="480" w:firstLineChars="200"/>
        <w:rPr>
          <w:rFonts w:ascii="Times New Roman" w:hAnsi="宋体"/>
          <w:sz w:val="24"/>
        </w:rPr>
      </w:pPr>
      <w:r>
        <w:rPr>
          <w:rFonts w:hint="eastAsia" w:ascii="Times New Roman" w:hAnsi="宋体"/>
          <w:sz w:val="24"/>
        </w:rPr>
        <w:t xml:space="preserve">                                   </w:t>
      </w:r>
    </w:p>
    <w:p>
      <w:pPr>
        <w:spacing w:line="500" w:lineRule="exact"/>
        <w:ind w:firstLine="480" w:firstLineChars="200"/>
        <w:rPr>
          <w:rFonts w:ascii="Times New Roman" w:hAnsi="宋体"/>
          <w:sz w:val="24"/>
        </w:rPr>
      </w:pPr>
    </w:p>
    <w:p>
      <w:pPr>
        <w:spacing w:line="500" w:lineRule="exact"/>
        <w:ind w:firstLine="480" w:firstLineChars="200"/>
        <w:rPr>
          <w:rFonts w:ascii="Times New Roman" w:hAnsi="宋体"/>
          <w:sz w:val="24"/>
        </w:rPr>
      </w:pPr>
      <w:r>
        <w:rPr>
          <w:rFonts w:hint="eastAsia" w:ascii="Times New Roman" w:hAnsi="宋体"/>
          <w:sz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94641"/>
    <w:multiLevelType w:val="singleLevel"/>
    <w:tmpl w:val="8B894641"/>
    <w:lvl w:ilvl="0" w:tentative="0">
      <w:start w:val="1"/>
      <w:numFmt w:val="chineseCounting"/>
      <w:suff w:val="nothing"/>
      <w:lvlText w:val="（%1）"/>
      <w:lvlJc w:val="left"/>
      <w:pPr>
        <w:ind w:left="425"/>
      </w:pPr>
      <w:rPr>
        <w:rFonts w:hint="eastAsia" w:cs="Times New Roman"/>
      </w:rPr>
    </w:lvl>
  </w:abstractNum>
  <w:abstractNum w:abstractNumId="1">
    <w:nsid w:val="C196519F"/>
    <w:multiLevelType w:val="singleLevel"/>
    <w:tmpl w:val="C196519F"/>
    <w:lvl w:ilvl="0" w:tentative="0">
      <w:start w:val="1"/>
      <w:numFmt w:val="chineseCounting"/>
      <w:lvlText w:val="(%1)"/>
      <w:lvlJc w:val="left"/>
      <w:pPr>
        <w:tabs>
          <w:tab w:val="left" w:pos="312"/>
        </w:tabs>
        <w:ind w:left="600"/>
      </w:pPr>
      <w:rPr>
        <w:rFonts w:hint="eastAsia" w:cs="Times New Roman"/>
      </w:rPr>
    </w:lvl>
  </w:abstractNum>
  <w:abstractNum w:abstractNumId="2">
    <w:nsid w:val="F5F6DF1A"/>
    <w:multiLevelType w:val="singleLevel"/>
    <w:tmpl w:val="F5F6DF1A"/>
    <w:lvl w:ilvl="0" w:tentative="0">
      <w:start w:val="1"/>
      <w:numFmt w:val="chineseCounting"/>
      <w:suff w:val="nothing"/>
      <w:lvlText w:val="%1、"/>
      <w:lvlJc w:val="left"/>
      <w:rPr>
        <w:rFonts w:hint="eastAsia" w:cs="Times New Roman"/>
      </w:rPr>
    </w:lvl>
  </w:abstractNum>
  <w:abstractNum w:abstractNumId="3">
    <w:nsid w:val="052E6D0A"/>
    <w:multiLevelType w:val="singleLevel"/>
    <w:tmpl w:val="052E6D0A"/>
    <w:lvl w:ilvl="0" w:tentative="0">
      <w:start w:val="1"/>
      <w:numFmt w:val="chineseCounting"/>
      <w:suff w:val="nothing"/>
      <w:lvlText w:val="（%1）"/>
      <w:lvlJc w:val="left"/>
      <w:pPr>
        <w:ind w:left="450"/>
      </w:pPr>
      <w:rPr>
        <w:rFonts w:hint="eastAsia" w:cs="Times New Roman"/>
      </w:rPr>
    </w:lvl>
  </w:abstractNum>
  <w:abstractNum w:abstractNumId="4">
    <w:nsid w:val="31D85798"/>
    <w:multiLevelType w:val="singleLevel"/>
    <w:tmpl w:val="31D85798"/>
    <w:lvl w:ilvl="0" w:tentative="0">
      <w:start w:val="1"/>
      <w:numFmt w:val="chineseCounting"/>
      <w:suff w:val="nothing"/>
      <w:lvlText w:val="（%1）"/>
      <w:lvlJc w:val="left"/>
      <w:pPr>
        <w:ind w:left="450"/>
      </w:pPr>
      <w:rPr>
        <w:rFonts w:hint="eastAsia" w:cs="Times New Roman"/>
      </w:rPr>
    </w:lvl>
  </w:abstractNum>
  <w:abstractNum w:abstractNumId="5">
    <w:nsid w:val="5755B8B1"/>
    <w:multiLevelType w:val="singleLevel"/>
    <w:tmpl w:val="5755B8B1"/>
    <w:lvl w:ilvl="0" w:tentative="0">
      <w:start w:val="1"/>
      <w:numFmt w:val="chineseCounting"/>
      <w:suff w:val="nothing"/>
      <w:lvlText w:val="（%1）"/>
      <w:lvlJc w:val="left"/>
      <w:pPr>
        <w:ind w:left="450"/>
      </w:pPr>
      <w:rPr>
        <w:rFonts w:hint="eastAsia" w:cs="Times New Roman"/>
      </w:rPr>
    </w:lvl>
  </w:abstractNum>
  <w:abstractNum w:abstractNumId="6">
    <w:nsid w:val="5B005A5D"/>
    <w:multiLevelType w:val="singleLevel"/>
    <w:tmpl w:val="5B005A5D"/>
    <w:lvl w:ilvl="0" w:tentative="0">
      <w:start w:val="1"/>
      <w:numFmt w:val="chineseCounting"/>
      <w:suff w:val="nothing"/>
      <w:lvlText w:val="（%1）"/>
      <w:lvlJc w:val="left"/>
      <w:pPr>
        <w:ind w:left="450"/>
      </w:pPr>
      <w:rPr>
        <w:rFonts w:hint="eastAsia" w:cs="Times New Roman"/>
      </w:rPr>
    </w:lvl>
  </w:abstractNum>
  <w:abstractNum w:abstractNumId="7">
    <w:nsid w:val="6801189B"/>
    <w:multiLevelType w:val="singleLevel"/>
    <w:tmpl w:val="6801189B"/>
    <w:lvl w:ilvl="0" w:tentative="0">
      <w:start w:val="1"/>
      <w:numFmt w:val="chineseCounting"/>
      <w:suff w:val="nothing"/>
      <w:lvlText w:val="（%1）"/>
      <w:lvlJc w:val="left"/>
      <w:pPr>
        <w:ind w:left="450"/>
      </w:pPr>
      <w:rPr>
        <w:rFonts w:hint="eastAsia" w:cs="Times New Roman"/>
      </w:rPr>
    </w:lvl>
  </w:abstractNum>
  <w:num w:numId="1">
    <w:abstractNumId w:val="2"/>
  </w:num>
  <w:num w:numId="2">
    <w:abstractNumId w:val="7"/>
  </w:num>
  <w:num w:numId="3">
    <w:abstractNumId w:val="0"/>
  </w:num>
  <w:num w:numId="4">
    <w:abstractNumId w:val="5"/>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6447"/>
    <w:rsid w:val="000006B6"/>
    <w:rsid w:val="000011D2"/>
    <w:rsid w:val="000063F3"/>
    <w:rsid w:val="00007982"/>
    <w:rsid w:val="00011C69"/>
    <w:rsid w:val="00012DDA"/>
    <w:rsid w:val="000143F2"/>
    <w:rsid w:val="0003028D"/>
    <w:rsid w:val="00031C21"/>
    <w:rsid w:val="00036EFF"/>
    <w:rsid w:val="0004186A"/>
    <w:rsid w:val="00042A69"/>
    <w:rsid w:val="000437AD"/>
    <w:rsid w:val="00046839"/>
    <w:rsid w:val="000521C7"/>
    <w:rsid w:val="00052C59"/>
    <w:rsid w:val="0005326B"/>
    <w:rsid w:val="00057B72"/>
    <w:rsid w:val="00061E1C"/>
    <w:rsid w:val="000638C9"/>
    <w:rsid w:val="000639BF"/>
    <w:rsid w:val="00067E6D"/>
    <w:rsid w:val="000707D8"/>
    <w:rsid w:val="0007457B"/>
    <w:rsid w:val="000745A6"/>
    <w:rsid w:val="00077C38"/>
    <w:rsid w:val="00081D1D"/>
    <w:rsid w:val="000839BC"/>
    <w:rsid w:val="000861B1"/>
    <w:rsid w:val="000863CC"/>
    <w:rsid w:val="00091DFB"/>
    <w:rsid w:val="000A0AD0"/>
    <w:rsid w:val="000A1D19"/>
    <w:rsid w:val="000A25AA"/>
    <w:rsid w:val="000A74CB"/>
    <w:rsid w:val="000B425F"/>
    <w:rsid w:val="000C57B0"/>
    <w:rsid w:val="000C5D90"/>
    <w:rsid w:val="000C5E1D"/>
    <w:rsid w:val="000C6868"/>
    <w:rsid w:val="000C7B38"/>
    <w:rsid w:val="000D4643"/>
    <w:rsid w:val="000D5A78"/>
    <w:rsid w:val="000E311C"/>
    <w:rsid w:val="000E34ED"/>
    <w:rsid w:val="000E3C5A"/>
    <w:rsid w:val="000E46D9"/>
    <w:rsid w:val="000E48F4"/>
    <w:rsid w:val="000E5638"/>
    <w:rsid w:val="000F1A08"/>
    <w:rsid w:val="000F3843"/>
    <w:rsid w:val="00103162"/>
    <w:rsid w:val="00104803"/>
    <w:rsid w:val="001131F6"/>
    <w:rsid w:val="00115E40"/>
    <w:rsid w:val="00116A09"/>
    <w:rsid w:val="00120E35"/>
    <w:rsid w:val="00122E16"/>
    <w:rsid w:val="00125F22"/>
    <w:rsid w:val="00127B44"/>
    <w:rsid w:val="00130806"/>
    <w:rsid w:val="001314E8"/>
    <w:rsid w:val="00135054"/>
    <w:rsid w:val="001362D2"/>
    <w:rsid w:val="0013693D"/>
    <w:rsid w:val="00137C98"/>
    <w:rsid w:val="00141A34"/>
    <w:rsid w:val="00141E06"/>
    <w:rsid w:val="00141E0B"/>
    <w:rsid w:val="00142A7A"/>
    <w:rsid w:val="00144B2F"/>
    <w:rsid w:val="00145F0E"/>
    <w:rsid w:val="0015213D"/>
    <w:rsid w:val="00152EE6"/>
    <w:rsid w:val="00157810"/>
    <w:rsid w:val="0016046A"/>
    <w:rsid w:val="00161CDA"/>
    <w:rsid w:val="001629BD"/>
    <w:rsid w:val="0016356C"/>
    <w:rsid w:val="0016430B"/>
    <w:rsid w:val="00170297"/>
    <w:rsid w:val="001725FB"/>
    <w:rsid w:val="00172D63"/>
    <w:rsid w:val="00172E07"/>
    <w:rsid w:val="001768A7"/>
    <w:rsid w:val="00176ED0"/>
    <w:rsid w:val="00177F85"/>
    <w:rsid w:val="00190342"/>
    <w:rsid w:val="00193A87"/>
    <w:rsid w:val="0019582A"/>
    <w:rsid w:val="00196BC9"/>
    <w:rsid w:val="00196EEB"/>
    <w:rsid w:val="001A4775"/>
    <w:rsid w:val="001A545B"/>
    <w:rsid w:val="001A56CF"/>
    <w:rsid w:val="001B250C"/>
    <w:rsid w:val="001B381D"/>
    <w:rsid w:val="001B5BEA"/>
    <w:rsid w:val="001C189E"/>
    <w:rsid w:val="001C4469"/>
    <w:rsid w:val="001C5295"/>
    <w:rsid w:val="001C561B"/>
    <w:rsid w:val="001C6145"/>
    <w:rsid w:val="001D2DAE"/>
    <w:rsid w:val="001D3BB1"/>
    <w:rsid w:val="001D4395"/>
    <w:rsid w:val="001D53FB"/>
    <w:rsid w:val="001E0B2F"/>
    <w:rsid w:val="001E44BC"/>
    <w:rsid w:val="001E5255"/>
    <w:rsid w:val="001F0FCF"/>
    <w:rsid w:val="001F2607"/>
    <w:rsid w:val="001F4117"/>
    <w:rsid w:val="00200F46"/>
    <w:rsid w:val="00200FEC"/>
    <w:rsid w:val="00200FFF"/>
    <w:rsid w:val="0020247D"/>
    <w:rsid w:val="0020396C"/>
    <w:rsid w:val="00205D09"/>
    <w:rsid w:val="0020636A"/>
    <w:rsid w:val="00215468"/>
    <w:rsid w:val="00220428"/>
    <w:rsid w:val="00221007"/>
    <w:rsid w:val="00222E3E"/>
    <w:rsid w:val="00231192"/>
    <w:rsid w:val="002313ED"/>
    <w:rsid w:val="002335C8"/>
    <w:rsid w:val="00237BA2"/>
    <w:rsid w:val="002404F5"/>
    <w:rsid w:val="00241908"/>
    <w:rsid w:val="00242243"/>
    <w:rsid w:val="00244784"/>
    <w:rsid w:val="002447A3"/>
    <w:rsid w:val="00245831"/>
    <w:rsid w:val="0024732B"/>
    <w:rsid w:val="00250E35"/>
    <w:rsid w:val="00251B80"/>
    <w:rsid w:val="0025254F"/>
    <w:rsid w:val="00252721"/>
    <w:rsid w:val="00252CAC"/>
    <w:rsid w:val="00255B40"/>
    <w:rsid w:val="00256025"/>
    <w:rsid w:val="002563EF"/>
    <w:rsid w:val="00260E5F"/>
    <w:rsid w:val="00275039"/>
    <w:rsid w:val="002800A4"/>
    <w:rsid w:val="00282C7E"/>
    <w:rsid w:val="00283A6C"/>
    <w:rsid w:val="00284F9F"/>
    <w:rsid w:val="0029491B"/>
    <w:rsid w:val="002A063E"/>
    <w:rsid w:val="002A204C"/>
    <w:rsid w:val="002A2CE7"/>
    <w:rsid w:val="002A4869"/>
    <w:rsid w:val="002A4F11"/>
    <w:rsid w:val="002A5086"/>
    <w:rsid w:val="002A5941"/>
    <w:rsid w:val="002A7B01"/>
    <w:rsid w:val="002B320B"/>
    <w:rsid w:val="002B4B25"/>
    <w:rsid w:val="002C39DF"/>
    <w:rsid w:val="002C5369"/>
    <w:rsid w:val="002D36D4"/>
    <w:rsid w:val="002D603F"/>
    <w:rsid w:val="002D6A73"/>
    <w:rsid w:val="002E1312"/>
    <w:rsid w:val="002E637B"/>
    <w:rsid w:val="002E75F9"/>
    <w:rsid w:val="002F4941"/>
    <w:rsid w:val="002F6343"/>
    <w:rsid w:val="002F6A12"/>
    <w:rsid w:val="002F6F7F"/>
    <w:rsid w:val="002F7EAC"/>
    <w:rsid w:val="003019DD"/>
    <w:rsid w:val="00305066"/>
    <w:rsid w:val="00306126"/>
    <w:rsid w:val="00310A50"/>
    <w:rsid w:val="003114EF"/>
    <w:rsid w:val="00314DB1"/>
    <w:rsid w:val="0031742B"/>
    <w:rsid w:val="00317F93"/>
    <w:rsid w:val="003237D8"/>
    <w:rsid w:val="00324200"/>
    <w:rsid w:val="00325DFD"/>
    <w:rsid w:val="00334AB8"/>
    <w:rsid w:val="003350A0"/>
    <w:rsid w:val="003368F6"/>
    <w:rsid w:val="003554A9"/>
    <w:rsid w:val="00360C1C"/>
    <w:rsid w:val="00361B0E"/>
    <w:rsid w:val="00364190"/>
    <w:rsid w:val="00364C86"/>
    <w:rsid w:val="00366447"/>
    <w:rsid w:val="0037385F"/>
    <w:rsid w:val="00375646"/>
    <w:rsid w:val="00377E5D"/>
    <w:rsid w:val="00382036"/>
    <w:rsid w:val="003836F3"/>
    <w:rsid w:val="00384543"/>
    <w:rsid w:val="00387B10"/>
    <w:rsid w:val="00391418"/>
    <w:rsid w:val="00395203"/>
    <w:rsid w:val="003A1CDC"/>
    <w:rsid w:val="003A40E2"/>
    <w:rsid w:val="003A4420"/>
    <w:rsid w:val="003A680C"/>
    <w:rsid w:val="003B136E"/>
    <w:rsid w:val="003B141F"/>
    <w:rsid w:val="003B448A"/>
    <w:rsid w:val="003B4725"/>
    <w:rsid w:val="003C34CD"/>
    <w:rsid w:val="003C4002"/>
    <w:rsid w:val="003C7D56"/>
    <w:rsid w:val="003C7EED"/>
    <w:rsid w:val="003D2D3F"/>
    <w:rsid w:val="003E0069"/>
    <w:rsid w:val="003E7431"/>
    <w:rsid w:val="003E7890"/>
    <w:rsid w:val="003F0D3E"/>
    <w:rsid w:val="003F591A"/>
    <w:rsid w:val="004005FF"/>
    <w:rsid w:val="0040172B"/>
    <w:rsid w:val="00402077"/>
    <w:rsid w:val="00404F20"/>
    <w:rsid w:val="00405640"/>
    <w:rsid w:val="00414460"/>
    <w:rsid w:val="004144BE"/>
    <w:rsid w:val="0041544F"/>
    <w:rsid w:val="004209EB"/>
    <w:rsid w:val="00421859"/>
    <w:rsid w:val="00421A49"/>
    <w:rsid w:val="00422A48"/>
    <w:rsid w:val="004251DE"/>
    <w:rsid w:val="004336E5"/>
    <w:rsid w:val="00441D06"/>
    <w:rsid w:val="00445CDF"/>
    <w:rsid w:val="004524BC"/>
    <w:rsid w:val="00456F56"/>
    <w:rsid w:val="004602BB"/>
    <w:rsid w:val="004669BB"/>
    <w:rsid w:val="00470396"/>
    <w:rsid w:val="004708C1"/>
    <w:rsid w:val="00475247"/>
    <w:rsid w:val="004767F9"/>
    <w:rsid w:val="00480C01"/>
    <w:rsid w:val="00481B90"/>
    <w:rsid w:val="00482F40"/>
    <w:rsid w:val="00487B08"/>
    <w:rsid w:val="004A0F5C"/>
    <w:rsid w:val="004A3F20"/>
    <w:rsid w:val="004A4E32"/>
    <w:rsid w:val="004B34F8"/>
    <w:rsid w:val="004B5AEA"/>
    <w:rsid w:val="004C0108"/>
    <w:rsid w:val="004C462C"/>
    <w:rsid w:val="004C601A"/>
    <w:rsid w:val="004D04DC"/>
    <w:rsid w:val="004D179C"/>
    <w:rsid w:val="004D3C0F"/>
    <w:rsid w:val="004D737A"/>
    <w:rsid w:val="004E15B0"/>
    <w:rsid w:val="004E1A6C"/>
    <w:rsid w:val="004E6506"/>
    <w:rsid w:val="004F0CE4"/>
    <w:rsid w:val="004F40A2"/>
    <w:rsid w:val="004F6063"/>
    <w:rsid w:val="004F7BC0"/>
    <w:rsid w:val="004F7EFE"/>
    <w:rsid w:val="0050753E"/>
    <w:rsid w:val="005106F3"/>
    <w:rsid w:val="00510FB0"/>
    <w:rsid w:val="00514AD2"/>
    <w:rsid w:val="00516D6E"/>
    <w:rsid w:val="00517641"/>
    <w:rsid w:val="00517E53"/>
    <w:rsid w:val="00521A8C"/>
    <w:rsid w:val="00523B89"/>
    <w:rsid w:val="00524DDA"/>
    <w:rsid w:val="005274CB"/>
    <w:rsid w:val="00540584"/>
    <w:rsid w:val="005439CD"/>
    <w:rsid w:val="00550ACC"/>
    <w:rsid w:val="00550ADC"/>
    <w:rsid w:val="00550CFC"/>
    <w:rsid w:val="00551031"/>
    <w:rsid w:val="00557C31"/>
    <w:rsid w:val="0056200B"/>
    <w:rsid w:val="005632DD"/>
    <w:rsid w:val="005662CD"/>
    <w:rsid w:val="005666B1"/>
    <w:rsid w:val="00567889"/>
    <w:rsid w:val="00567C09"/>
    <w:rsid w:val="00570D15"/>
    <w:rsid w:val="00574DFB"/>
    <w:rsid w:val="00581740"/>
    <w:rsid w:val="005825E4"/>
    <w:rsid w:val="0058269A"/>
    <w:rsid w:val="005826B9"/>
    <w:rsid w:val="005924B5"/>
    <w:rsid w:val="00592A44"/>
    <w:rsid w:val="00593AF0"/>
    <w:rsid w:val="00593ED8"/>
    <w:rsid w:val="00594428"/>
    <w:rsid w:val="00594D6C"/>
    <w:rsid w:val="005A0770"/>
    <w:rsid w:val="005A0E2B"/>
    <w:rsid w:val="005A46D4"/>
    <w:rsid w:val="005A4CBD"/>
    <w:rsid w:val="005A5660"/>
    <w:rsid w:val="005A6AEE"/>
    <w:rsid w:val="005B029B"/>
    <w:rsid w:val="005B12EE"/>
    <w:rsid w:val="005B24A2"/>
    <w:rsid w:val="005B5B22"/>
    <w:rsid w:val="005B6A19"/>
    <w:rsid w:val="005C03D6"/>
    <w:rsid w:val="005C0B82"/>
    <w:rsid w:val="005C1E06"/>
    <w:rsid w:val="005C4D34"/>
    <w:rsid w:val="005D1656"/>
    <w:rsid w:val="005D3670"/>
    <w:rsid w:val="005D64E5"/>
    <w:rsid w:val="005E1023"/>
    <w:rsid w:val="005E1AF2"/>
    <w:rsid w:val="005F0BD3"/>
    <w:rsid w:val="005F25B5"/>
    <w:rsid w:val="005F5562"/>
    <w:rsid w:val="00603794"/>
    <w:rsid w:val="006059BA"/>
    <w:rsid w:val="006131A7"/>
    <w:rsid w:val="00614CF4"/>
    <w:rsid w:val="00615731"/>
    <w:rsid w:val="0061576F"/>
    <w:rsid w:val="00623F82"/>
    <w:rsid w:val="00630826"/>
    <w:rsid w:val="0063116E"/>
    <w:rsid w:val="0063316A"/>
    <w:rsid w:val="00633FA1"/>
    <w:rsid w:val="00635866"/>
    <w:rsid w:val="00641B7B"/>
    <w:rsid w:val="00642015"/>
    <w:rsid w:val="00646040"/>
    <w:rsid w:val="00646CF0"/>
    <w:rsid w:val="00647653"/>
    <w:rsid w:val="00656030"/>
    <w:rsid w:val="00656AE9"/>
    <w:rsid w:val="00662B63"/>
    <w:rsid w:val="006640D5"/>
    <w:rsid w:val="00664356"/>
    <w:rsid w:val="00664BC1"/>
    <w:rsid w:val="006668BC"/>
    <w:rsid w:val="00670C01"/>
    <w:rsid w:val="00672FBB"/>
    <w:rsid w:val="00674F06"/>
    <w:rsid w:val="006801EE"/>
    <w:rsid w:val="00680EF9"/>
    <w:rsid w:val="00681BD3"/>
    <w:rsid w:val="00681CA7"/>
    <w:rsid w:val="00683491"/>
    <w:rsid w:val="006842C2"/>
    <w:rsid w:val="00684D0F"/>
    <w:rsid w:val="00687850"/>
    <w:rsid w:val="00693610"/>
    <w:rsid w:val="00694A18"/>
    <w:rsid w:val="00697A14"/>
    <w:rsid w:val="00697A8C"/>
    <w:rsid w:val="006A0806"/>
    <w:rsid w:val="006A2A3A"/>
    <w:rsid w:val="006A6350"/>
    <w:rsid w:val="006A74C4"/>
    <w:rsid w:val="006B0E91"/>
    <w:rsid w:val="006B1852"/>
    <w:rsid w:val="006B2EC4"/>
    <w:rsid w:val="006B3FB5"/>
    <w:rsid w:val="006B4E9A"/>
    <w:rsid w:val="006B53F9"/>
    <w:rsid w:val="006C0389"/>
    <w:rsid w:val="006C2BB5"/>
    <w:rsid w:val="006C54BC"/>
    <w:rsid w:val="006C6216"/>
    <w:rsid w:val="006C730E"/>
    <w:rsid w:val="006D6D44"/>
    <w:rsid w:val="006E35CF"/>
    <w:rsid w:val="006E4B2E"/>
    <w:rsid w:val="006E52FD"/>
    <w:rsid w:val="006E6B2E"/>
    <w:rsid w:val="006E726B"/>
    <w:rsid w:val="006F1D73"/>
    <w:rsid w:val="006F226E"/>
    <w:rsid w:val="006F36D6"/>
    <w:rsid w:val="006F48D2"/>
    <w:rsid w:val="006F4E5E"/>
    <w:rsid w:val="0070031F"/>
    <w:rsid w:val="00700635"/>
    <w:rsid w:val="00702691"/>
    <w:rsid w:val="007026BC"/>
    <w:rsid w:val="00702BB9"/>
    <w:rsid w:val="00703A2C"/>
    <w:rsid w:val="00706485"/>
    <w:rsid w:val="00710F4E"/>
    <w:rsid w:val="007111C3"/>
    <w:rsid w:val="00713235"/>
    <w:rsid w:val="007213ED"/>
    <w:rsid w:val="007221F9"/>
    <w:rsid w:val="00722E1A"/>
    <w:rsid w:val="00724106"/>
    <w:rsid w:val="00724DFB"/>
    <w:rsid w:val="00732212"/>
    <w:rsid w:val="00732DAF"/>
    <w:rsid w:val="00734905"/>
    <w:rsid w:val="00737365"/>
    <w:rsid w:val="00737517"/>
    <w:rsid w:val="00737E3A"/>
    <w:rsid w:val="00742743"/>
    <w:rsid w:val="0074347D"/>
    <w:rsid w:val="00745CAE"/>
    <w:rsid w:val="007460DA"/>
    <w:rsid w:val="00752480"/>
    <w:rsid w:val="00752E72"/>
    <w:rsid w:val="00754B7B"/>
    <w:rsid w:val="007551A5"/>
    <w:rsid w:val="00755B5A"/>
    <w:rsid w:val="00755CFF"/>
    <w:rsid w:val="0076081B"/>
    <w:rsid w:val="00760BC8"/>
    <w:rsid w:val="0076338C"/>
    <w:rsid w:val="007668F1"/>
    <w:rsid w:val="00766FA6"/>
    <w:rsid w:val="00771220"/>
    <w:rsid w:val="00771CBC"/>
    <w:rsid w:val="0077680E"/>
    <w:rsid w:val="007824EC"/>
    <w:rsid w:val="0078297E"/>
    <w:rsid w:val="00794642"/>
    <w:rsid w:val="00794ECB"/>
    <w:rsid w:val="007B0223"/>
    <w:rsid w:val="007B221B"/>
    <w:rsid w:val="007C051F"/>
    <w:rsid w:val="007C2BB5"/>
    <w:rsid w:val="007C332F"/>
    <w:rsid w:val="007C79EA"/>
    <w:rsid w:val="007D3390"/>
    <w:rsid w:val="007D5423"/>
    <w:rsid w:val="007E0398"/>
    <w:rsid w:val="007E255B"/>
    <w:rsid w:val="007E33BD"/>
    <w:rsid w:val="007E77A6"/>
    <w:rsid w:val="007F1A75"/>
    <w:rsid w:val="007F484D"/>
    <w:rsid w:val="007F7297"/>
    <w:rsid w:val="008078E1"/>
    <w:rsid w:val="00810D91"/>
    <w:rsid w:val="0081175F"/>
    <w:rsid w:val="00812783"/>
    <w:rsid w:val="00821EEE"/>
    <w:rsid w:val="00823667"/>
    <w:rsid w:val="00827AD4"/>
    <w:rsid w:val="008301B6"/>
    <w:rsid w:val="00835972"/>
    <w:rsid w:val="00837D0E"/>
    <w:rsid w:val="00840143"/>
    <w:rsid w:val="008407B6"/>
    <w:rsid w:val="00845B03"/>
    <w:rsid w:val="00846B98"/>
    <w:rsid w:val="00846C1C"/>
    <w:rsid w:val="00850246"/>
    <w:rsid w:val="00851785"/>
    <w:rsid w:val="008555DB"/>
    <w:rsid w:val="0086017E"/>
    <w:rsid w:val="008700FC"/>
    <w:rsid w:val="00871DCC"/>
    <w:rsid w:val="00871FBE"/>
    <w:rsid w:val="0087219B"/>
    <w:rsid w:val="008765C4"/>
    <w:rsid w:val="0088276E"/>
    <w:rsid w:val="00885EEC"/>
    <w:rsid w:val="00891B13"/>
    <w:rsid w:val="00892F94"/>
    <w:rsid w:val="008A06B8"/>
    <w:rsid w:val="008A0FC5"/>
    <w:rsid w:val="008A274D"/>
    <w:rsid w:val="008A276C"/>
    <w:rsid w:val="008A2CCF"/>
    <w:rsid w:val="008A362F"/>
    <w:rsid w:val="008A75F0"/>
    <w:rsid w:val="008B0463"/>
    <w:rsid w:val="008B0F81"/>
    <w:rsid w:val="008B19AE"/>
    <w:rsid w:val="008B2ACB"/>
    <w:rsid w:val="008B4AB9"/>
    <w:rsid w:val="008B7954"/>
    <w:rsid w:val="008C1878"/>
    <w:rsid w:val="008C536F"/>
    <w:rsid w:val="008C5D3F"/>
    <w:rsid w:val="008D19A8"/>
    <w:rsid w:val="008D20D6"/>
    <w:rsid w:val="008E0D84"/>
    <w:rsid w:val="008E2C3E"/>
    <w:rsid w:val="008E5627"/>
    <w:rsid w:val="008E5736"/>
    <w:rsid w:val="008E5A98"/>
    <w:rsid w:val="008E5C86"/>
    <w:rsid w:val="008F09F3"/>
    <w:rsid w:val="008F3B4A"/>
    <w:rsid w:val="00900FE1"/>
    <w:rsid w:val="0090357A"/>
    <w:rsid w:val="009058DB"/>
    <w:rsid w:val="00905FFA"/>
    <w:rsid w:val="00910BFD"/>
    <w:rsid w:val="00911DC1"/>
    <w:rsid w:val="0091436F"/>
    <w:rsid w:val="00915F46"/>
    <w:rsid w:val="009229B3"/>
    <w:rsid w:val="00925F0A"/>
    <w:rsid w:val="009340C7"/>
    <w:rsid w:val="00934E1F"/>
    <w:rsid w:val="009362B1"/>
    <w:rsid w:val="00940374"/>
    <w:rsid w:val="00940619"/>
    <w:rsid w:val="00941144"/>
    <w:rsid w:val="00945FAD"/>
    <w:rsid w:val="00945FF1"/>
    <w:rsid w:val="009523EA"/>
    <w:rsid w:val="00952F0B"/>
    <w:rsid w:val="00953188"/>
    <w:rsid w:val="0095463F"/>
    <w:rsid w:val="00954855"/>
    <w:rsid w:val="00954952"/>
    <w:rsid w:val="00954C65"/>
    <w:rsid w:val="00961F9F"/>
    <w:rsid w:val="00964235"/>
    <w:rsid w:val="0096602D"/>
    <w:rsid w:val="009673B1"/>
    <w:rsid w:val="009705CD"/>
    <w:rsid w:val="00971429"/>
    <w:rsid w:val="00975A2C"/>
    <w:rsid w:val="00975BAD"/>
    <w:rsid w:val="009806B6"/>
    <w:rsid w:val="00980862"/>
    <w:rsid w:val="009855C2"/>
    <w:rsid w:val="00985ADD"/>
    <w:rsid w:val="0098726D"/>
    <w:rsid w:val="0099307A"/>
    <w:rsid w:val="00994CE2"/>
    <w:rsid w:val="009A1114"/>
    <w:rsid w:val="009A2BE4"/>
    <w:rsid w:val="009A47CE"/>
    <w:rsid w:val="009A53C3"/>
    <w:rsid w:val="009A5887"/>
    <w:rsid w:val="009A5933"/>
    <w:rsid w:val="009A5D90"/>
    <w:rsid w:val="009A6C07"/>
    <w:rsid w:val="009B13F1"/>
    <w:rsid w:val="009B4D5D"/>
    <w:rsid w:val="009C03C1"/>
    <w:rsid w:val="009C29F8"/>
    <w:rsid w:val="009C4A03"/>
    <w:rsid w:val="009C4D74"/>
    <w:rsid w:val="009D2419"/>
    <w:rsid w:val="009D26BE"/>
    <w:rsid w:val="009D2F22"/>
    <w:rsid w:val="009D5732"/>
    <w:rsid w:val="009D68F0"/>
    <w:rsid w:val="009E0D52"/>
    <w:rsid w:val="009E4414"/>
    <w:rsid w:val="009E5402"/>
    <w:rsid w:val="009E6ED4"/>
    <w:rsid w:val="009E74DE"/>
    <w:rsid w:val="009F05A3"/>
    <w:rsid w:val="009F2A79"/>
    <w:rsid w:val="009F6332"/>
    <w:rsid w:val="00A006A6"/>
    <w:rsid w:val="00A046EF"/>
    <w:rsid w:val="00A05BE9"/>
    <w:rsid w:val="00A06185"/>
    <w:rsid w:val="00A12A9D"/>
    <w:rsid w:val="00A1426C"/>
    <w:rsid w:val="00A14577"/>
    <w:rsid w:val="00A1513A"/>
    <w:rsid w:val="00A16D2B"/>
    <w:rsid w:val="00A16D3A"/>
    <w:rsid w:val="00A171B9"/>
    <w:rsid w:val="00A17DCB"/>
    <w:rsid w:val="00A20095"/>
    <w:rsid w:val="00A24647"/>
    <w:rsid w:val="00A25F8B"/>
    <w:rsid w:val="00A3146B"/>
    <w:rsid w:val="00A3653F"/>
    <w:rsid w:val="00A366E0"/>
    <w:rsid w:val="00A402F8"/>
    <w:rsid w:val="00A43BEF"/>
    <w:rsid w:val="00A44052"/>
    <w:rsid w:val="00A44193"/>
    <w:rsid w:val="00A44689"/>
    <w:rsid w:val="00A451BD"/>
    <w:rsid w:val="00A47D99"/>
    <w:rsid w:val="00A50D7D"/>
    <w:rsid w:val="00A51617"/>
    <w:rsid w:val="00A517C0"/>
    <w:rsid w:val="00A53872"/>
    <w:rsid w:val="00A53B62"/>
    <w:rsid w:val="00A53C6B"/>
    <w:rsid w:val="00A54CB8"/>
    <w:rsid w:val="00A5685F"/>
    <w:rsid w:val="00A56B05"/>
    <w:rsid w:val="00A62AFF"/>
    <w:rsid w:val="00A657B8"/>
    <w:rsid w:val="00A670FE"/>
    <w:rsid w:val="00A736D4"/>
    <w:rsid w:val="00A8496E"/>
    <w:rsid w:val="00A871E2"/>
    <w:rsid w:val="00A90F9F"/>
    <w:rsid w:val="00A93BC1"/>
    <w:rsid w:val="00A964C6"/>
    <w:rsid w:val="00A96B6F"/>
    <w:rsid w:val="00A97E5D"/>
    <w:rsid w:val="00AA168C"/>
    <w:rsid w:val="00AA24B3"/>
    <w:rsid w:val="00AA5EBA"/>
    <w:rsid w:val="00AA6FF8"/>
    <w:rsid w:val="00AB0A9E"/>
    <w:rsid w:val="00AB25E4"/>
    <w:rsid w:val="00AB7A30"/>
    <w:rsid w:val="00AC154E"/>
    <w:rsid w:val="00AC3EC6"/>
    <w:rsid w:val="00AC4F06"/>
    <w:rsid w:val="00AD1018"/>
    <w:rsid w:val="00AD75D9"/>
    <w:rsid w:val="00AD7C39"/>
    <w:rsid w:val="00AE002C"/>
    <w:rsid w:val="00AE5159"/>
    <w:rsid w:val="00AE7B6D"/>
    <w:rsid w:val="00AE7E88"/>
    <w:rsid w:val="00AF03AD"/>
    <w:rsid w:val="00AF0406"/>
    <w:rsid w:val="00AF1149"/>
    <w:rsid w:val="00AF16C3"/>
    <w:rsid w:val="00AF37B6"/>
    <w:rsid w:val="00AF42CC"/>
    <w:rsid w:val="00B0426D"/>
    <w:rsid w:val="00B12B98"/>
    <w:rsid w:val="00B13A6C"/>
    <w:rsid w:val="00B160F0"/>
    <w:rsid w:val="00B16180"/>
    <w:rsid w:val="00B16649"/>
    <w:rsid w:val="00B23281"/>
    <w:rsid w:val="00B361B7"/>
    <w:rsid w:val="00B40701"/>
    <w:rsid w:val="00B4285C"/>
    <w:rsid w:val="00B42CB5"/>
    <w:rsid w:val="00B42EA9"/>
    <w:rsid w:val="00B50A3A"/>
    <w:rsid w:val="00B533FE"/>
    <w:rsid w:val="00B560B7"/>
    <w:rsid w:val="00B57E6B"/>
    <w:rsid w:val="00B61EFB"/>
    <w:rsid w:val="00B66BFC"/>
    <w:rsid w:val="00B711B9"/>
    <w:rsid w:val="00B71FC0"/>
    <w:rsid w:val="00B721AE"/>
    <w:rsid w:val="00B77B01"/>
    <w:rsid w:val="00B80148"/>
    <w:rsid w:val="00B81EEF"/>
    <w:rsid w:val="00B8324E"/>
    <w:rsid w:val="00B869C5"/>
    <w:rsid w:val="00B94088"/>
    <w:rsid w:val="00B94A40"/>
    <w:rsid w:val="00BA2ACD"/>
    <w:rsid w:val="00BA2C39"/>
    <w:rsid w:val="00BA31E4"/>
    <w:rsid w:val="00BA5311"/>
    <w:rsid w:val="00BA65CC"/>
    <w:rsid w:val="00BB08F4"/>
    <w:rsid w:val="00BB2E88"/>
    <w:rsid w:val="00BB3698"/>
    <w:rsid w:val="00BC1DA1"/>
    <w:rsid w:val="00BC2B28"/>
    <w:rsid w:val="00BC4BA0"/>
    <w:rsid w:val="00BC7508"/>
    <w:rsid w:val="00BD0557"/>
    <w:rsid w:val="00BD115D"/>
    <w:rsid w:val="00BD3124"/>
    <w:rsid w:val="00BD33CE"/>
    <w:rsid w:val="00BD5B61"/>
    <w:rsid w:val="00BD6727"/>
    <w:rsid w:val="00BE02F7"/>
    <w:rsid w:val="00BE7BAE"/>
    <w:rsid w:val="00BF0FD4"/>
    <w:rsid w:val="00BF1E13"/>
    <w:rsid w:val="00BF2D85"/>
    <w:rsid w:val="00BF3DA9"/>
    <w:rsid w:val="00BF3DFB"/>
    <w:rsid w:val="00BF57EE"/>
    <w:rsid w:val="00C0052A"/>
    <w:rsid w:val="00C0287D"/>
    <w:rsid w:val="00C04428"/>
    <w:rsid w:val="00C0735E"/>
    <w:rsid w:val="00C123AB"/>
    <w:rsid w:val="00C14E35"/>
    <w:rsid w:val="00C15CE6"/>
    <w:rsid w:val="00C27292"/>
    <w:rsid w:val="00C275BC"/>
    <w:rsid w:val="00C3290D"/>
    <w:rsid w:val="00C33B7F"/>
    <w:rsid w:val="00C34434"/>
    <w:rsid w:val="00C3528E"/>
    <w:rsid w:val="00C4400A"/>
    <w:rsid w:val="00C46103"/>
    <w:rsid w:val="00C476E8"/>
    <w:rsid w:val="00C619CF"/>
    <w:rsid w:val="00C65D3C"/>
    <w:rsid w:val="00C662FC"/>
    <w:rsid w:val="00C664CC"/>
    <w:rsid w:val="00C71F80"/>
    <w:rsid w:val="00C721C4"/>
    <w:rsid w:val="00C721D1"/>
    <w:rsid w:val="00C771AC"/>
    <w:rsid w:val="00C778A8"/>
    <w:rsid w:val="00C809A5"/>
    <w:rsid w:val="00C80AF8"/>
    <w:rsid w:val="00C82632"/>
    <w:rsid w:val="00C831F5"/>
    <w:rsid w:val="00C843A8"/>
    <w:rsid w:val="00C87DEF"/>
    <w:rsid w:val="00C90262"/>
    <w:rsid w:val="00C91D5D"/>
    <w:rsid w:val="00C921D4"/>
    <w:rsid w:val="00C94D30"/>
    <w:rsid w:val="00C96810"/>
    <w:rsid w:val="00C96E4F"/>
    <w:rsid w:val="00C97249"/>
    <w:rsid w:val="00CA27D9"/>
    <w:rsid w:val="00CA3895"/>
    <w:rsid w:val="00CA3EC2"/>
    <w:rsid w:val="00CA60E8"/>
    <w:rsid w:val="00CB0DF7"/>
    <w:rsid w:val="00CB0F73"/>
    <w:rsid w:val="00CB1868"/>
    <w:rsid w:val="00CB5A01"/>
    <w:rsid w:val="00CB7C70"/>
    <w:rsid w:val="00CB7D68"/>
    <w:rsid w:val="00CC05F1"/>
    <w:rsid w:val="00CC3ACB"/>
    <w:rsid w:val="00CC5C9C"/>
    <w:rsid w:val="00CC6012"/>
    <w:rsid w:val="00CC61B2"/>
    <w:rsid w:val="00CC7438"/>
    <w:rsid w:val="00CC77E7"/>
    <w:rsid w:val="00CD0044"/>
    <w:rsid w:val="00CD3F6D"/>
    <w:rsid w:val="00CD5FB1"/>
    <w:rsid w:val="00CD6A9F"/>
    <w:rsid w:val="00CE1A2E"/>
    <w:rsid w:val="00CE3951"/>
    <w:rsid w:val="00CE4012"/>
    <w:rsid w:val="00CE5F65"/>
    <w:rsid w:val="00CE6D52"/>
    <w:rsid w:val="00CF14C0"/>
    <w:rsid w:val="00D05C17"/>
    <w:rsid w:val="00D07125"/>
    <w:rsid w:val="00D11C3A"/>
    <w:rsid w:val="00D12BA6"/>
    <w:rsid w:val="00D166E2"/>
    <w:rsid w:val="00D17DBA"/>
    <w:rsid w:val="00D20059"/>
    <w:rsid w:val="00D208FD"/>
    <w:rsid w:val="00D2193B"/>
    <w:rsid w:val="00D307CD"/>
    <w:rsid w:val="00D32802"/>
    <w:rsid w:val="00D34ADF"/>
    <w:rsid w:val="00D41432"/>
    <w:rsid w:val="00D4258B"/>
    <w:rsid w:val="00D51C5C"/>
    <w:rsid w:val="00D52E95"/>
    <w:rsid w:val="00D668C4"/>
    <w:rsid w:val="00D66E99"/>
    <w:rsid w:val="00D703EC"/>
    <w:rsid w:val="00D70E81"/>
    <w:rsid w:val="00D719D7"/>
    <w:rsid w:val="00D7265D"/>
    <w:rsid w:val="00D726D4"/>
    <w:rsid w:val="00D72F52"/>
    <w:rsid w:val="00D7311B"/>
    <w:rsid w:val="00D741A0"/>
    <w:rsid w:val="00D76EB4"/>
    <w:rsid w:val="00D834F1"/>
    <w:rsid w:val="00D83EA2"/>
    <w:rsid w:val="00D844AE"/>
    <w:rsid w:val="00D877EE"/>
    <w:rsid w:val="00D87E50"/>
    <w:rsid w:val="00D901CE"/>
    <w:rsid w:val="00D903A8"/>
    <w:rsid w:val="00D907D9"/>
    <w:rsid w:val="00D90ABA"/>
    <w:rsid w:val="00D93A5B"/>
    <w:rsid w:val="00D967BA"/>
    <w:rsid w:val="00DA14CE"/>
    <w:rsid w:val="00DA1980"/>
    <w:rsid w:val="00DA32B7"/>
    <w:rsid w:val="00DA7A55"/>
    <w:rsid w:val="00DB082E"/>
    <w:rsid w:val="00DC2694"/>
    <w:rsid w:val="00DC6FA4"/>
    <w:rsid w:val="00DD002C"/>
    <w:rsid w:val="00DD6608"/>
    <w:rsid w:val="00DD7400"/>
    <w:rsid w:val="00DE22DD"/>
    <w:rsid w:val="00DE4B4D"/>
    <w:rsid w:val="00DE5F88"/>
    <w:rsid w:val="00DF13FA"/>
    <w:rsid w:val="00DF3023"/>
    <w:rsid w:val="00DF3346"/>
    <w:rsid w:val="00DF527E"/>
    <w:rsid w:val="00DF7CD1"/>
    <w:rsid w:val="00E01AF6"/>
    <w:rsid w:val="00E0257D"/>
    <w:rsid w:val="00E1213E"/>
    <w:rsid w:val="00E15E4D"/>
    <w:rsid w:val="00E17172"/>
    <w:rsid w:val="00E223CE"/>
    <w:rsid w:val="00E22402"/>
    <w:rsid w:val="00E23548"/>
    <w:rsid w:val="00E23906"/>
    <w:rsid w:val="00E241D1"/>
    <w:rsid w:val="00E2509E"/>
    <w:rsid w:val="00E26189"/>
    <w:rsid w:val="00E2621B"/>
    <w:rsid w:val="00E307CA"/>
    <w:rsid w:val="00E3272E"/>
    <w:rsid w:val="00E32DA8"/>
    <w:rsid w:val="00E43878"/>
    <w:rsid w:val="00E449DE"/>
    <w:rsid w:val="00E47DAB"/>
    <w:rsid w:val="00E55083"/>
    <w:rsid w:val="00E5660F"/>
    <w:rsid w:val="00E5768B"/>
    <w:rsid w:val="00E603C2"/>
    <w:rsid w:val="00E62594"/>
    <w:rsid w:val="00E63104"/>
    <w:rsid w:val="00E642B9"/>
    <w:rsid w:val="00E64A7A"/>
    <w:rsid w:val="00E71100"/>
    <w:rsid w:val="00E72AD5"/>
    <w:rsid w:val="00E805D8"/>
    <w:rsid w:val="00E8423B"/>
    <w:rsid w:val="00E85C85"/>
    <w:rsid w:val="00E917B9"/>
    <w:rsid w:val="00E92D28"/>
    <w:rsid w:val="00E9680C"/>
    <w:rsid w:val="00EA46EB"/>
    <w:rsid w:val="00EA4D35"/>
    <w:rsid w:val="00EB06B6"/>
    <w:rsid w:val="00EB61E7"/>
    <w:rsid w:val="00EB6871"/>
    <w:rsid w:val="00EC2A47"/>
    <w:rsid w:val="00EC507C"/>
    <w:rsid w:val="00EC5593"/>
    <w:rsid w:val="00ED1274"/>
    <w:rsid w:val="00ED32A7"/>
    <w:rsid w:val="00ED49F5"/>
    <w:rsid w:val="00EE01CA"/>
    <w:rsid w:val="00EE16D0"/>
    <w:rsid w:val="00EE4341"/>
    <w:rsid w:val="00EF08F6"/>
    <w:rsid w:val="00EF705D"/>
    <w:rsid w:val="00F039D1"/>
    <w:rsid w:val="00F05143"/>
    <w:rsid w:val="00F0625B"/>
    <w:rsid w:val="00F12A49"/>
    <w:rsid w:val="00F130C3"/>
    <w:rsid w:val="00F1443A"/>
    <w:rsid w:val="00F16E73"/>
    <w:rsid w:val="00F171FA"/>
    <w:rsid w:val="00F17E27"/>
    <w:rsid w:val="00F20BBE"/>
    <w:rsid w:val="00F218A5"/>
    <w:rsid w:val="00F24D22"/>
    <w:rsid w:val="00F262D6"/>
    <w:rsid w:val="00F27B5E"/>
    <w:rsid w:val="00F33FD0"/>
    <w:rsid w:val="00F356F2"/>
    <w:rsid w:val="00F37E63"/>
    <w:rsid w:val="00F41EBE"/>
    <w:rsid w:val="00F41F66"/>
    <w:rsid w:val="00F42268"/>
    <w:rsid w:val="00F43449"/>
    <w:rsid w:val="00F4535E"/>
    <w:rsid w:val="00F54D78"/>
    <w:rsid w:val="00F563BF"/>
    <w:rsid w:val="00F60994"/>
    <w:rsid w:val="00F62C23"/>
    <w:rsid w:val="00F65B13"/>
    <w:rsid w:val="00F70646"/>
    <w:rsid w:val="00F7143A"/>
    <w:rsid w:val="00F72055"/>
    <w:rsid w:val="00F755D0"/>
    <w:rsid w:val="00F7599F"/>
    <w:rsid w:val="00F76F18"/>
    <w:rsid w:val="00F80879"/>
    <w:rsid w:val="00F851C4"/>
    <w:rsid w:val="00F8527F"/>
    <w:rsid w:val="00F9034F"/>
    <w:rsid w:val="00F905BE"/>
    <w:rsid w:val="00F94ED8"/>
    <w:rsid w:val="00F96119"/>
    <w:rsid w:val="00F9670F"/>
    <w:rsid w:val="00F977D9"/>
    <w:rsid w:val="00FA0D6D"/>
    <w:rsid w:val="00FA1096"/>
    <w:rsid w:val="00FA1F7D"/>
    <w:rsid w:val="00FA22ED"/>
    <w:rsid w:val="00FA28B4"/>
    <w:rsid w:val="00FA7F06"/>
    <w:rsid w:val="00FB0D26"/>
    <w:rsid w:val="00FB26C2"/>
    <w:rsid w:val="00FB72C9"/>
    <w:rsid w:val="00FB7D17"/>
    <w:rsid w:val="00FC0360"/>
    <w:rsid w:val="00FC318C"/>
    <w:rsid w:val="00FD4408"/>
    <w:rsid w:val="00FD6A88"/>
    <w:rsid w:val="00FE32C2"/>
    <w:rsid w:val="00FE35F5"/>
    <w:rsid w:val="00FE52E8"/>
    <w:rsid w:val="00FE7C16"/>
    <w:rsid w:val="00FF0738"/>
    <w:rsid w:val="00FF32C1"/>
    <w:rsid w:val="00FF34C1"/>
    <w:rsid w:val="00FF36F2"/>
    <w:rsid w:val="0221181B"/>
    <w:rsid w:val="025C149C"/>
    <w:rsid w:val="028D5FE0"/>
    <w:rsid w:val="02DA24B7"/>
    <w:rsid w:val="02F261C9"/>
    <w:rsid w:val="035D2664"/>
    <w:rsid w:val="03FA3335"/>
    <w:rsid w:val="04A5413E"/>
    <w:rsid w:val="053A4D2A"/>
    <w:rsid w:val="07AE63AC"/>
    <w:rsid w:val="080D6CC4"/>
    <w:rsid w:val="08376192"/>
    <w:rsid w:val="09B1324D"/>
    <w:rsid w:val="0A0D7EBD"/>
    <w:rsid w:val="0A1606D2"/>
    <w:rsid w:val="0AC65F6D"/>
    <w:rsid w:val="0B426777"/>
    <w:rsid w:val="0E07732B"/>
    <w:rsid w:val="11044BD4"/>
    <w:rsid w:val="114A6BBD"/>
    <w:rsid w:val="115E7E3A"/>
    <w:rsid w:val="12713B48"/>
    <w:rsid w:val="12EC4772"/>
    <w:rsid w:val="13781FC6"/>
    <w:rsid w:val="13FD73BB"/>
    <w:rsid w:val="143B0D64"/>
    <w:rsid w:val="14C55DDC"/>
    <w:rsid w:val="15D60264"/>
    <w:rsid w:val="16AD409B"/>
    <w:rsid w:val="1AF1022A"/>
    <w:rsid w:val="1AFC1817"/>
    <w:rsid w:val="1B625587"/>
    <w:rsid w:val="1B872B75"/>
    <w:rsid w:val="1BE12A51"/>
    <w:rsid w:val="1C697F6E"/>
    <w:rsid w:val="1C6B6B55"/>
    <w:rsid w:val="1CF84F8F"/>
    <w:rsid w:val="1D003417"/>
    <w:rsid w:val="1D704B0B"/>
    <w:rsid w:val="1EE87744"/>
    <w:rsid w:val="1F983485"/>
    <w:rsid w:val="21B750E9"/>
    <w:rsid w:val="24C649C1"/>
    <w:rsid w:val="261C3D96"/>
    <w:rsid w:val="26521BD8"/>
    <w:rsid w:val="29A77AA2"/>
    <w:rsid w:val="2A99623E"/>
    <w:rsid w:val="2B7B0060"/>
    <w:rsid w:val="2BF538CD"/>
    <w:rsid w:val="2C3B3934"/>
    <w:rsid w:val="2CAF777C"/>
    <w:rsid w:val="2EB12820"/>
    <w:rsid w:val="2FAE2990"/>
    <w:rsid w:val="2FE34B2C"/>
    <w:rsid w:val="30616CA7"/>
    <w:rsid w:val="309E3C41"/>
    <w:rsid w:val="31DB16DF"/>
    <w:rsid w:val="32583AB3"/>
    <w:rsid w:val="337B5DEC"/>
    <w:rsid w:val="34EB610F"/>
    <w:rsid w:val="35765A3A"/>
    <w:rsid w:val="36A5343D"/>
    <w:rsid w:val="36B80320"/>
    <w:rsid w:val="36F11211"/>
    <w:rsid w:val="37B3516E"/>
    <w:rsid w:val="385A258B"/>
    <w:rsid w:val="392024E6"/>
    <w:rsid w:val="3C8260FE"/>
    <w:rsid w:val="3CE20CBE"/>
    <w:rsid w:val="3D527AC4"/>
    <w:rsid w:val="3D8638D3"/>
    <w:rsid w:val="3E2D6ACB"/>
    <w:rsid w:val="3E386744"/>
    <w:rsid w:val="3F2D34C4"/>
    <w:rsid w:val="3F71347F"/>
    <w:rsid w:val="3F720B8E"/>
    <w:rsid w:val="3F976865"/>
    <w:rsid w:val="3FD4616E"/>
    <w:rsid w:val="40066CD3"/>
    <w:rsid w:val="40860916"/>
    <w:rsid w:val="41BE7BD1"/>
    <w:rsid w:val="42ED5AB4"/>
    <w:rsid w:val="43E248BE"/>
    <w:rsid w:val="45195AEA"/>
    <w:rsid w:val="452F319D"/>
    <w:rsid w:val="459C53B2"/>
    <w:rsid w:val="45F73FC0"/>
    <w:rsid w:val="46550816"/>
    <w:rsid w:val="46A01B96"/>
    <w:rsid w:val="46A7439C"/>
    <w:rsid w:val="46E8418F"/>
    <w:rsid w:val="47665E4F"/>
    <w:rsid w:val="4855180C"/>
    <w:rsid w:val="487512F2"/>
    <w:rsid w:val="49086AD1"/>
    <w:rsid w:val="49ED7F24"/>
    <w:rsid w:val="4A5200C9"/>
    <w:rsid w:val="4BAE4B6D"/>
    <w:rsid w:val="4C1B4E95"/>
    <w:rsid w:val="4DF43395"/>
    <w:rsid w:val="4E11641D"/>
    <w:rsid w:val="4E2548BF"/>
    <w:rsid w:val="4E48262B"/>
    <w:rsid w:val="4F492ABD"/>
    <w:rsid w:val="4FC92A57"/>
    <w:rsid w:val="558A1996"/>
    <w:rsid w:val="55D15704"/>
    <w:rsid w:val="581E7E8B"/>
    <w:rsid w:val="597759E9"/>
    <w:rsid w:val="59B80ACF"/>
    <w:rsid w:val="5A5B2F3C"/>
    <w:rsid w:val="5AF26550"/>
    <w:rsid w:val="5B1901BD"/>
    <w:rsid w:val="5B946773"/>
    <w:rsid w:val="5C38600B"/>
    <w:rsid w:val="5E3F6EB8"/>
    <w:rsid w:val="5F076DE4"/>
    <w:rsid w:val="60160DBA"/>
    <w:rsid w:val="601A7F9D"/>
    <w:rsid w:val="60253071"/>
    <w:rsid w:val="605040E2"/>
    <w:rsid w:val="60BE3482"/>
    <w:rsid w:val="61FA6AF3"/>
    <w:rsid w:val="62D635F1"/>
    <w:rsid w:val="632D3E93"/>
    <w:rsid w:val="6440440A"/>
    <w:rsid w:val="64D95776"/>
    <w:rsid w:val="65AB59CA"/>
    <w:rsid w:val="665633CF"/>
    <w:rsid w:val="677F509F"/>
    <w:rsid w:val="68374B88"/>
    <w:rsid w:val="6839181B"/>
    <w:rsid w:val="68574E05"/>
    <w:rsid w:val="6AE348F8"/>
    <w:rsid w:val="6C020ED9"/>
    <w:rsid w:val="6C441628"/>
    <w:rsid w:val="6CDC1099"/>
    <w:rsid w:val="6E5566C8"/>
    <w:rsid w:val="6EA62BF0"/>
    <w:rsid w:val="6ED46DDE"/>
    <w:rsid w:val="6FDE2E9A"/>
    <w:rsid w:val="714D0E5B"/>
    <w:rsid w:val="71B94C88"/>
    <w:rsid w:val="72967CD2"/>
    <w:rsid w:val="72A42AA6"/>
    <w:rsid w:val="734C5D92"/>
    <w:rsid w:val="743C0FA6"/>
    <w:rsid w:val="75440644"/>
    <w:rsid w:val="75A25884"/>
    <w:rsid w:val="76483716"/>
    <w:rsid w:val="78914533"/>
    <w:rsid w:val="78E35562"/>
    <w:rsid w:val="79583FF1"/>
    <w:rsid w:val="7B9A02C3"/>
    <w:rsid w:val="7DAA4DBB"/>
    <w:rsid w:val="7DEA5701"/>
    <w:rsid w:val="7E07065C"/>
    <w:rsid w:val="7F501F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0"/>
    <w:pPr>
      <w:jc w:val="left"/>
    </w:pPr>
  </w:style>
  <w:style w:type="paragraph" w:styleId="3">
    <w:name w:val="Balloon Text"/>
    <w:basedOn w:val="1"/>
    <w:link w:val="26"/>
    <w:qFormat/>
    <w:uiPriority w:val="0"/>
    <w:rPr>
      <w:sz w:val="18"/>
      <w:szCs w:val="18"/>
    </w:r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5"/>
    <w:semiHidden/>
    <w:unhideWhenUsed/>
    <w:qFormat/>
    <w:uiPriority w:val="0"/>
    <w:rPr>
      <w:b/>
      <w:bCs/>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rFonts w:cs="Times New Roman"/>
      <w:b/>
      <w:bCs/>
    </w:rPr>
  </w:style>
  <w:style w:type="character" w:styleId="11">
    <w:name w:val="page number"/>
    <w:basedOn w:val="9"/>
    <w:qFormat/>
    <w:uiPriority w:val="0"/>
  </w:style>
  <w:style w:type="character" w:styleId="12">
    <w:name w:val="FollowedHyperlink"/>
    <w:basedOn w:val="9"/>
    <w:semiHidden/>
    <w:unhideWhenUsed/>
    <w:qFormat/>
    <w:uiPriority w:val="0"/>
    <w:rPr>
      <w:color w:val="296FBE"/>
      <w:u w:val="none"/>
    </w:rPr>
  </w:style>
  <w:style w:type="character" w:styleId="13">
    <w:name w:val="Emphasis"/>
    <w:basedOn w:val="9"/>
    <w:qFormat/>
    <w:uiPriority w:val="0"/>
    <w:rPr>
      <w:color w:val="318ED9"/>
    </w:rPr>
  </w:style>
  <w:style w:type="character" w:styleId="14">
    <w:name w:val="HTML Definition"/>
    <w:basedOn w:val="9"/>
    <w:semiHidden/>
    <w:unhideWhenUsed/>
    <w:qFormat/>
    <w:uiPriority w:val="0"/>
  </w:style>
  <w:style w:type="character" w:styleId="15">
    <w:name w:val="HTML Variable"/>
    <w:basedOn w:val="9"/>
    <w:semiHidden/>
    <w:unhideWhenUsed/>
    <w:qFormat/>
    <w:uiPriority w:val="0"/>
  </w:style>
  <w:style w:type="character" w:styleId="16">
    <w:name w:val="Hyperlink"/>
    <w:basedOn w:val="9"/>
    <w:semiHidden/>
    <w:unhideWhenUsed/>
    <w:qFormat/>
    <w:uiPriority w:val="0"/>
    <w:rPr>
      <w:color w:val="296FBE"/>
      <w:u w:val="none"/>
    </w:rPr>
  </w:style>
  <w:style w:type="character" w:styleId="17">
    <w:name w:val="HTML Code"/>
    <w:basedOn w:val="9"/>
    <w:semiHidden/>
    <w:unhideWhenUsed/>
    <w:qFormat/>
    <w:uiPriority w:val="0"/>
    <w:rPr>
      <w:rFonts w:ascii="微软雅黑" w:hAnsi="微软雅黑" w:eastAsia="微软雅黑" w:cs="微软雅黑"/>
      <w:sz w:val="12"/>
      <w:szCs w:val="12"/>
    </w:rPr>
  </w:style>
  <w:style w:type="character" w:styleId="18">
    <w:name w:val="annotation reference"/>
    <w:semiHidden/>
    <w:unhideWhenUsed/>
    <w:qFormat/>
    <w:uiPriority w:val="0"/>
    <w:rPr>
      <w:sz w:val="21"/>
      <w:szCs w:val="21"/>
    </w:rPr>
  </w:style>
  <w:style w:type="character" w:styleId="19">
    <w:name w:val="HTML Cite"/>
    <w:basedOn w:val="9"/>
    <w:semiHidden/>
    <w:unhideWhenUsed/>
    <w:qFormat/>
    <w:uiPriority w:val="0"/>
  </w:style>
  <w:style w:type="paragraph" w:customStyle="1" w:styleId="20">
    <w:name w:val="Table Paragraph"/>
    <w:basedOn w:val="1"/>
    <w:qFormat/>
    <w:uiPriority w:val="0"/>
    <w:pPr>
      <w:spacing w:before="11"/>
      <w:jc w:val="center"/>
    </w:pPr>
  </w:style>
  <w:style w:type="paragraph" w:customStyle="1" w:styleId="21">
    <w:name w:val="列表段落1"/>
    <w:basedOn w:val="1"/>
    <w:qFormat/>
    <w:uiPriority w:val="99"/>
    <w:pPr>
      <w:ind w:firstLine="420" w:firstLineChars="200"/>
    </w:pPr>
  </w:style>
  <w:style w:type="character" w:customStyle="1" w:styleId="22">
    <w:name w:val="页眉 Char"/>
    <w:link w:val="5"/>
    <w:qFormat/>
    <w:locked/>
    <w:uiPriority w:val="99"/>
    <w:rPr>
      <w:rFonts w:ascii="Calibri" w:hAnsi="Calibri" w:cs="Times New Roman"/>
      <w:kern w:val="2"/>
      <w:sz w:val="18"/>
      <w:szCs w:val="18"/>
    </w:rPr>
  </w:style>
  <w:style w:type="character" w:customStyle="1" w:styleId="23">
    <w:name w:val="页脚 Char"/>
    <w:link w:val="4"/>
    <w:qFormat/>
    <w:locked/>
    <w:uiPriority w:val="99"/>
    <w:rPr>
      <w:rFonts w:ascii="Calibri" w:hAnsi="Calibri" w:cs="Times New Roman"/>
      <w:kern w:val="2"/>
      <w:sz w:val="18"/>
      <w:szCs w:val="18"/>
    </w:rPr>
  </w:style>
  <w:style w:type="character" w:customStyle="1" w:styleId="24">
    <w:name w:val="批注文字 Char"/>
    <w:link w:val="2"/>
    <w:semiHidden/>
    <w:qFormat/>
    <w:uiPriority w:val="0"/>
    <w:rPr>
      <w:rFonts w:ascii="Calibri" w:hAnsi="Calibri"/>
      <w:kern w:val="2"/>
      <w:sz w:val="21"/>
      <w:szCs w:val="24"/>
    </w:rPr>
  </w:style>
  <w:style w:type="character" w:customStyle="1" w:styleId="25">
    <w:name w:val="批注主题 Char"/>
    <w:link w:val="6"/>
    <w:semiHidden/>
    <w:qFormat/>
    <w:uiPriority w:val="0"/>
    <w:rPr>
      <w:rFonts w:ascii="Calibri" w:hAnsi="Calibri"/>
      <w:b/>
      <w:bCs/>
      <w:kern w:val="2"/>
      <w:sz w:val="21"/>
      <w:szCs w:val="24"/>
    </w:rPr>
  </w:style>
  <w:style w:type="character" w:customStyle="1" w:styleId="26">
    <w:name w:val="批注框文本 Char"/>
    <w:link w:val="3"/>
    <w:qFormat/>
    <w:uiPriority w:val="0"/>
    <w:rPr>
      <w:rFonts w:ascii="Calibri" w:hAnsi="Calibri"/>
      <w:kern w:val="2"/>
      <w:sz w:val="18"/>
      <w:szCs w:val="18"/>
    </w:rPr>
  </w:style>
  <w:style w:type="paragraph" w:styleId="27">
    <w:name w:val="List Paragraph"/>
    <w:basedOn w:val="1"/>
    <w:qFormat/>
    <w:uiPriority w:val="34"/>
    <w:pPr>
      <w:ind w:firstLine="420" w:firstLineChars="200"/>
    </w:pPr>
  </w:style>
  <w:style w:type="character" w:customStyle="1" w:styleId="28">
    <w:name w:val="hilite"/>
    <w:basedOn w:val="9"/>
    <w:qFormat/>
    <w:uiPriority w:val="0"/>
    <w:rPr>
      <w:color w:val="FFFFFF"/>
      <w:shd w:val="clear" w:color="auto" w:fill="666666"/>
    </w:rPr>
  </w:style>
  <w:style w:type="character" w:customStyle="1" w:styleId="29">
    <w:name w:val="associateddata"/>
    <w:basedOn w:val="9"/>
    <w:qFormat/>
    <w:uiPriority w:val="0"/>
    <w:rPr>
      <w:shd w:val="clear" w:color="auto" w:fill="50A6F9"/>
    </w:rPr>
  </w:style>
  <w:style w:type="character" w:customStyle="1" w:styleId="30">
    <w:name w:val="after"/>
    <w:basedOn w:val="9"/>
    <w:qFormat/>
    <w:uiPriority w:val="0"/>
    <w:rPr>
      <w:sz w:val="0"/>
      <w:szCs w:val="0"/>
    </w:rPr>
  </w:style>
  <w:style w:type="character" w:customStyle="1" w:styleId="31">
    <w:name w:val="button6"/>
    <w:basedOn w:val="9"/>
    <w:qFormat/>
    <w:uiPriority w:val="0"/>
  </w:style>
  <w:style w:type="character" w:customStyle="1" w:styleId="32">
    <w:name w:val="left2"/>
    <w:basedOn w:val="9"/>
    <w:qFormat/>
    <w:uiPriority w:val="0"/>
    <w:rPr>
      <w:color w:val="666666"/>
      <w:sz w:val="14"/>
      <w:szCs w:val="14"/>
    </w:rPr>
  </w:style>
  <w:style w:type="character" w:customStyle="1" w:styleId="33">
    <w:name w:val="cy"/>
    <w:basedOn w:val="9"/>
    <w:qFormat/>
    <w:uiPriority w:val="0"/>
  </w:style>
  <w:style w:type="character" w:customStyle="1" w:styleId="34">
    <w:name w:val="active5"/>
    <w:basedOn w:val="9"/>
    <w:qFormat/>
    <w:uiPriority w:val="0"/>
    <w:rPr>
      <w:color w:val="00FF00"/>
      <w:shd w:val="clear" w:color="auto" w:fill="111111"/>
    </w:rPr>
  </w:style>
  <w:style w:type="character" w:customStyle="1" w:styleId="35">
    <w:name w:val="cdropleft"/>
    <w:basedOn w:val="9"/>
    <w:qFormat/>
    <w:uiPriority w:val="0"/>
  </w:style>
  <w:style w:type="character" w:customStyle="1" w:styleId="36">
    <w:name w:val="layui-layer-tabnow"/>
    <w:basedOn w:val="9"/>
    <w:qFormat/>
    <w:uiPriority w:val="0"/>
    <w:rPr>
      <w:bdr w:val="single" w:color="CCCCCC" w:sz="4" w:space="0"/>
      <w:shd w:val="clear" w:color="auto" w:fill="FFFFFF"/>
    </w:rPr>
  </w:style>
  <w:style w:type="character" w:customStyle="1" w:styleId="37">
    <w:name w:val="choosename"/>
    <w:basedOn w:val="9"/>
    <w:qFormat/>
    <w:uiPriority w:val="0"/>
  </w:style>
  <w:style w:type="character" w:customStyle="1" w:styleId="38">
    <w:name w:val="pagechatarealistclose_box"/>
    <w:basedOn w:val="9"/>
    <w:qFormat/>
    <w:uiPriority w:val="0"/>
  </w:style>
  <w:style w:type="character" w:customStyle="1" w:styleId="39">
    <w:name w:val="pagechatarealistclose_box1"/>
    <w:basedOn w:val="9"/>
    <w:qFormat/>
    <w:uiPriority w:val="0"/>
  </w:style>
  <w:style w:type="character" w:customStyle="1" w:styleId="40">
    <w:name w:val="icontext2"/>
    <w:basedOn w:val="9"/>
    <w:qFormat/>
    <w:uiPriority w:val="0"/>
  </w:style>
  <w:style w:type="character" w:customStyle="1" w:styleId="41">
    <w:name w:val="icontext3"/>
    <w:basedOn w:val="9"/>
    <w:qFormat/>
    <w:uiPriority w:val="0"/>
  </w:style>
  <w:style w:type="character" w:customStyle="1" w:styleId="42">
    <w:name w:val="cdropright"/>
    <w:basedOn w:val="9"/>
    <w:qFormat/>
    <w:uiPriority w:val="0"/>
  </w:style>
  <w:style w:type="character" w:customStyle="1" w:styleId="43">
    <w:name w:val="drapbtn"/>
    <w:basedOn w:val="9"/>
    <w:qFormat/>
    <w:uiPriority w:val="0"/>
  </w:style>
  <w:style w:type="character" w:customStyle="1" w:styleId="44">
    <w:name w:val="w32"/>
    <w:basedOn w:val="9"/>
    <w:qFormat/>
    <w:uiPriority w:val="0"/>
  </w:style>
  <w:style w:type="character" w:customStyle="1" w:styleId="45">
    <w:name w:val="tmpztreemove_arrow"/>
    <w:basedOn w:val="9"/>
    <w:qFormat/>
    <w:uiPriority w:val="0"/>
  </w:style>
  <w:style w:type="character" w:customStyle="1" w:styleId="46">
    <w:name w:val="ico1654"/>
    <w:basedOn w:val="9"/>
    <w:qFormat/>
    <w:uiPriority w:val="0"/>
  </w:style>
  <w:style w:type="character" w:customStyle="1" w:styleId="47">
    <w:name w:val="ico1655"/>
    <w:basedOn w:val="9"/>
    <w:qFormat/>
    <w:uiPriority w:val="0"/>
  </w:style>
  <w:style w:type="character" w:customStyle="1" w:styleId="48">
    <w:name w:val="icontext1"/>
    <w:basedOn w:val="9"/>
    <w:qFormat/>
    <w:uiPriority w:val="0"/>
  </w:style>
  <w:style w:type="character" w:customStyle="1" w:styleId="49">
    <w:name w:val="icontext11"/>
    <w:basedOn w:val="9"/>
    <w:qFormat/>
    <w:uiPriority w:val="0"/>
  </w:style>
  <w:style w:type="character" w:customStyle="1" w:styleId="50">
    <w:name w:val="icontext12"/>
    <w:basedOn w:val="9"/>
    <w:qFormat/>
    <w:uiPriority w:val="0"/>
  </w:style>
  <w:style w:type="character" w:customStyle="1" w:styleId="51">
    <w:name w:val="iconline2"/>
    <w:basedOn w:val="9"/>
    <w:qFormat/>
    <w:uiPriority w:val="0"/>
  </w:style>
  <w:style w:type="character" w:customStyle="1" w:styleId="52">
    <w:name w:val="iconline21"/>
    <w:basedOn w:val="9"/>
    <w:qFormat/>
    <w:uiPriority w:val="0"/>
  </w:style>
  <w:style w:type="character" w:customStyle="1" w:styleId="53">
    <w:name w:val="first-child"/>
    <w:basedOn w:val="9"/>
    <w:qFormat/>
    <w:uiPriority w:val="0"/>
  </w:style>
  <w:style w:type="character" w:customStyle="1" w:styleId="54">
    <w:name w:val="hover41"/>
    <w:basedOn w:val="9"/>
    <w:qFormat/>
    <w:uiPriority w:val="0"/>
    <w:rPr>
      <w:color w:val="FFFFFF"/>
    </w:rPr>
  </w:style>
  <w:style w:type="character" w:customStyle="1" w:styleId="55">
    <w:name w:val="hover42"/>
    <w:basedOn w:val="9"/>
    <w:qFormat/>
    <w:uiPriority w:val="0"/>
    <w:rPr>
      <w:color w:val="FF31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D24E8-7D75-4C97-9A24-1143F166E51B}">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3336</Words>
  <Characters>19019</Characters>
  <Lines>158</Lines>
  <Paragraphs>44</Paragraphs>
  <TotalTime>9</TotalTime>
  <ScaleCrop>false</ScaleCrop>
  <LinksUpToDate>false</LinksUpToDate>
  <CharactersWithSpaces>22311</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2019-10-12T02:44:00Z</dcterms:created>
  <dc:creator>HP-111</dc:creator>
  <cp:lastModifiedBy>WXJ</cp:lastModifiedBy>
  <cp:lastPrinted>2019-09-26T07:49:00Z</cp:lastPrinted>
  <dcterms:modified xsi:type="dcterms:W3CDTF">2020-10-27T09:14:57Z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KSORubyTemplateID">
    <vt:lpwstr>6</vt:lpwstr>
  </property>
</Properties>
</file>