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580" w:lineRule="exact"/>
        <w:rPr>
          <w:rFonts w:hint="eastAsia" w:ascii="黑体" w:hAnsi="黑体" w:eastAsia="黑体" w:cs="黑体"/>
          <w:sz w:val="32"/>
          <w:szCs w:val="32"/>
        </w:rPr>
      </w:pPr>
      <w:r>
        <w:rPr>
          <w:rFonts w:hint="eastAsia" w:ascii="黑体" w:hAnsi="黑体" w:eastAsia="黑体" w:cs="黑体"/>
          <w:sz w:val="32"/>
          <w:szCs w:val="32"/>
        </w:rPr>
        <w:t>附件2</w:t>
      </w:r>
    </w:p>
    <w:p>
      <w:pPr>
        <w:keepNext/>
        <w:spacing w:line="58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主题教育</w:t>
      </w:r>
      <w:bookmarkStart w:id="0" w:name="_Hlk133940075"/>
      <w:r>
        <w:rPr>
          <w:rFonts w:hint="eastAsia" w:ascii="方正小标宋简体" w:hAnsi="方正小标宋简体" w:eastAsia="方正小标宋简体" w:cs="方正小标宋简体"/>
          <w:bCs/>
          <w:sz w:val="44"/>
          <w:szCs w:val="44"/>
        </w:rPr>
        <w:t>校院两级中心组学习安排</w:t>
      </w:r>
      <w:bookmarkEnd w:id="0"/>
      <w:r>
        <w:rPr>
          <w:rFonts w:hint="eastAsia" w:ascii="方正小标宋简体" w:hAnsi="方正小标宋简体" w:eastAsia="方正小标宋简体" w:cs="方正小标宋简体"/>
          <w:bCs/>
          <w:sz w:val="44"/>
          <w:szCs w:val="44"/>
        </w:rPr>
        <w:t>一览表</w:t>
      </w:r>
    </w:p>
    <w:tbl>
      <w:tblPr>
        <w:tblStyle w:val="4"/>
        <w:tblpPr w:leftFromText="180" w:rightFromText="180" w:vertAnchor="text" w:horzAnchor="page" w:tblpXSpec="center" w:tblpY="263"/>
        <w:tblOverlap w:val="never"/>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1535"/>
        <w:gridCol w:w="9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tblHeader/>
          <w:jc w:val="center"/>
        </w:trPr>
        <w:tc>
          <w:tcPr>
            <w:tcW w:w="523" w:type="pct"/>
            <w:tcBorders>
              <w:top w:val="single" w:color="auto" w:sz="4" w:space="0"/>
              <w:left w:val="single" w:color="auto" w:sz="4" w:space="0"/>
              <w:bottom w:val="single" w:color="auto" w:sz="4" w:space="0"/>
              <w:right w:val="single" w:color="auto" w:sz="4" w:space="0"/>
            </w:tcBorders>
            <w:vAlign w:val="center"/>
          </w:tcPr>
          <w:p>
            <w:pPr>
              <w:keepNext/>
              <w:spacing w:line="40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次 数</w:t>
            </w:r>
          </w:p>
        </w:tc>
        <w:tc>
          <w:tcPr>
            <w:tcW w:w="630" w:type="pct"/>
            <w:tcBorders>
              <w:top w:val="single" w:color="auto" w:sz="4" w:space="0"/>
              <w:left w:val="single" w:color="auto" w:sz="4" w:space="0"/>
              <w:bottom w:val="single" w:color="auto" w:sz="4" w:space="0"/>
              <w:right w:val="single" w:color="auto" w:sz="4" w:space="0"/>
            </w:tcBorders>
            <w:vAlign w:val="center"/>
          </w:tcPr>
          <w:p>
            <w:pPr>
              <w:keepNext/>
              <w:spacing w:line="40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时 间</w:t>
            </w:r>
          </w:p>
        </w:tc>
        <w:tc>
          <w:tcPr>
            <w:tcW w:w="3846" w:type="pct"/>
            <w:tcBorders>
              <w:top w:val="single" w:color="auto" w:sz="4" w:space="0"/>
              <w:left w:val="single" w:color="auto" w:sz="4" w:space="0"/>
              <w:bottom w:val="single" w:color="auto" w:sz="4" w:space="0"/>
              <w:right w:val="single" w:color="auto" w:sz="4" w:space="0"/>
            </w:tcBorders>
            <w:vAlign w:val="center"/>
          </w:tcPr>
          <w:p>
            <w:pPr>
              <w:keepNext/>
              <w:spacing w:line="40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 xml:space="preserve">主 </w:t>
            </w:r>
            <w:r>
              <w:rPr>
                <w:rFonts w:hint="eastAsia" w:asciiTheme="minorEastAsia" w:hAnsiTheme="minorEastAsia" w:eastAsiaTheme="minorEastAsia" w:cstheme="minorEastAsia"/>
                <w:b/>
                <w:bCs w:val="0"/>
                <w:sz w:val="24"/>
                <w:szCs w:val="24"/>
                <w:lang w:val="en-US" w:eastAsia="zh-CN"/>
              </w:rPr>
              <w:t xml:space="preserve"> </w:t>
            </w:r>
            <w:r>
              <w:rPr>
                <w:rFonts w:hint="eastAsia" w:asciiTheme="minorEastAsia" w:hAnsiTheme="minorEastAsia" w:eastAsiaTheme="minorEastAsia" w:cstheme="minorEastAsia"/>
                <w:b/>
                <w:bCs w:val="0"/>
                <w:sz w:val="24"/>
                <w:szCs w:val="24"/>
              </w:rPr>
              <w:t>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blHeader/>
          <w:jc w:val="center"/>
        </w:trPr>
        <w:tc>
          <w:tcPr>
            <w:tcW w:w="523" w:type="pct"/>
            <w:tcBorders>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第一次</w:t>
            </w:r>
          </w:p>
        </w:tc>
        <w:tc>
          <w:tcPr>
            <w:tcW w:w="630" w:type="pct"/>
            <w:tcBorders>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月</w:t>
            </w:r>
          </w:p>
        </w:tc>
        <w:tc>
          <w:tcPr>
            <w:tcW w:w="3846" w:type="pct"/>
            <w:tcBorders>
              <w:left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深入</w:t>
            </w:r>
            <w:r>
              <w:rPr>
                <w:rFonts w:hint="eastAsia" w:asciiTheme="minorEastAsia" w:hAnsiTheme="minorEastAsia" w:eastAsiaTheme="minorEastAsia" w:cstheme="minorEastAsia"/>
                <w:sz w:val="22"/>
                <w:szCs w:val="22"/>
                <w:lang w:val="en-US" w:eastAsia="zh-CN"/>
              </w:rPr>
              <w:t>学习贯彻习近平新时代中国特色社会主义思想主题教育第一批总结暨第二批部署会议精神以及习近平总书记在内蒙古、四川等地考察时关于主题教育的重要讲话和重要指示精神，深刻理解开展主题教育的重大意义和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523"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第二次</w:t>
            </w:r>
          </w:p>
        </w:tc>
        <w:tc>
          <w:tcPr>
            <w:tcW w:w="63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right w:val="single" w:color="auto" w:sz="4" w:space="0"/>
            </w:tcBorders>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atLeast"/>
              <w:ind w:left="0" w:right="0" w:firstLine="0"/>
              <w:jc w:val="left"/>
              <w:textAlignment w:val="auto"/>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b w:val="0"/>
                <w:bCs w:val="0"/>
                <w:kern w:val="2"/>
                <w:sz w:val="22"/>
                <w:szCs w:val="22"/>
                <w:lang w:val="en-US" w:eastAsia="zh-CN" w:bidi="ar-SA"/>
              </w:rPr>
              <w:t>认真学习习近平总书记对内蒙古的重要指示批示精神，结合工作实际，围绕《关于在全党大兴调查研究的工作方案》制定调研计划并开展专题学习研讨。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523"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第三次</w:t>
            </w:r>
          </w:p>
        </w:tc>
        <w:tc>
          <w:tcPr>
            <w:tcW w:w="63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深入习近平总书记关于调查研究的重要论述</w:t>
            </w:r>
            <w:r>
              <w:rPr>
                <w:rFonts w:hint="eastAsia" w:asciiTheme="minorEastAsia" w:hAnsiTheme="minorEastAsia" w:cstheme="minorEastAsia"/>
                <w:sz w:val="22"/>
                <w:szCs w:val="22"/>
                <w:lang w:eastAsia="zh-CN"/>
              </w:rPr>
              <w:t>，</w:t>
            </w:r>
            <w:r>
              <w:rPr>
                <w:rFonts w:hint="eastAsia" w:asciiTheme="minorEastAsia" w:hAnsiTheme="minorEastAsia" w:eastAsiaTheme="minorEastAsia" w:cstheme="minorEastAsia"/>
                <w:sz w:val="22"/>
                <w:szCs w:val="22"/>
              </w:rPr>
              <w:t>学习领会习近平总书记关于推动高质量发展的重要论述，结合“扬优势、找差距、强弱项、补短板，为尽早更名赤峰大学不懈努力”</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深刻理解大兴调查研究的重要意义，为扎实开展实践活动奠定理论基础</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523"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第四次</w:t>
            </w:r>
          </w:p>
        </w:tc>
        <w:tc>
          <w:tcPr>
            <w:tcW w:w="63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深入学习习近平总书记关于加强和改进民族工作的重要思想，深刻理解全方位建设“模范自治区”的各项要求，铸牢中华民族共同体意识</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523"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第五次</w:t>
            </w:r>
          </w:p>
        </w:tc>
        <w:tc>
          <w:tcPr>
            <w:tcW w:w="63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bottom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深入学习习近平总书记关于教育的重要论述，以及普通高等教育学科专业设置调整优化改革方案等，把学</w:t>
            </w:r>
            <w:bookmarkStart w:id="1" w:name="_GoBack"/>
            <w:bookmarkEnd w:id="1"/>
            <w:r>
              <w:rPr>
                <w:rFonts w:hint="eastAsia" w:asciiTheme="minorEastAsia" w:hAnsiTheme="minorEastAsia" w:eastAsiaTheme="minorEastAsia" w:cstheme="minorEastAsia"/>
                <w:sz w:val="22"/>
                <w:szCs w:val="22"/>
              </w:rPr>
              <w:t>习成效转化为全方位推进学校高质量发展的强大动力和实际成效。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523"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第六次</w:t>
            </w:r>
          </w:p>
        </w:tc>
        <w:tc>
          <w:tcPr>
            <w:tcW w:w="63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深入学习习近平总书记关于全面从严治党的重要论述，深刻理解推进党的自我革命的重大意义，结合实际领会推进党的自我革命的实践要求</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523"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第七次</w:t>
            </w:r>
          </w:p>
        </w:tc>
        <w:tc>
          <w:tcPr>
            <w:tcW w:w="63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p>
        </w:tc>
        <w:tc>
          <w:tcPr>
            <w:tcW w:w="3846" w:type="pct"/>
            <w:tcBorders>
              <w:top w:val="single" w:color="auto" w:sz="4" w:space="0"/>
              <w:left w:val="single" w:color="auto" w:sz="4" w:space="0"/>
              <w:right w:val="single" w:color="auto" w:sz="4" w:space="0"/>
            </w:tcBorders>
            <w:vAlign w:val="center"/>
          </w:tcPr>
          <w:p>
            <w:pPr>
              <w:keepNext/>
              <w:spacing w:line="32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全面学习习近平新时代中国特色社会主义思想的世界观和方法论，深刻理解并科学运用“六个必须坚持”，深刻理解中国式现代化的科学内涵和本质要求，不断提高党性、增强能力本领，推动学校高质量发展</w:t>
            </w:r>
            <w:r>
              <w:rPr>
                <w:rFonts w:hint="eastAsia" w:asciiTheme="minorEastAsia" w:hAnsiTheme="minorEastAsia" w:eastAsiaTheme="minorEastAsia" w:cstheme="minorEastAsia"/>
                <w:sz w:val="22"/>
                <w:szCs w:val="22"/>
                <w:lang w:eastAsia="zh-CN"/>
              </w:rPr>
              <w:t>。</w:t>
            </w:r>
          </w:p>
        </w:tc>
      </w:tr>
    </w:tbl>
    <w:p>
      <w:pPr>
        <w:tabs>
          <w:tab w:val="left" w:pos="4445"/>
        </w:tabs>
        <w:bidi w:val="0"/>
        <w:jc w:val="left"/>
        <w:rPr>
          <w:lang w:val="en-US" w:eastAsia="zh-CN"/>
        </w:rPr>
      </w:pPr>
    </w:p>
    <w:sectPr>
      <w:pgSz w:w="16838" w:h="11906" w:orient="landscape"/>
      <w:pgMar w:top="1587" w:right="2098" w:bottom="1474" w:left="192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0C237E1-539D-4B0F-B7DB-8878342DB1B0}"/>
  </w:font>
  <w:font w:name="方正小标宋简体">
    <w:panose1 w:val="02000000000000000000"/>
    <w:charset w:val="86"/>
    <w:family w:val="auto"/>
    <w:pitch w:val="default"/>
    <w:sig w:usb0="00000001" w:usb1="08000000" w:usb2="00000000" w:usb3="00000000" w:csb0="00040000" w:csb1="00000000"/>
    <w:embedRegular r:id="rId2" w:fontKey="{CEC52040-7A29-42FB-9137-B15B89EDFD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OGUyMWYyN2E5NTViM2Q2MGM1NTljZWI4ZTczMDkifQ=="/>
  </w:docVars>
  <w:rsids>
    <w:rsidRoot w:val="409E1E57"/>
    <w:rsid w:val="3242036B"/>
    <w:rsid w:val="409E1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widowControl/>
      <w:jc w:val="center"/>
    </w:pPr>
    <w:rPr>
      <w:rFonts w:ascii="宋体" w:hAnsi="宋体" w:eastAsiaTheme="minorEastAsia" w:cstheme="minorBidi"/>
      <w:b/>
      <w:bCs/>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2023-09-20T02:04:00Z</dcterms:created>
  <dc:creator>amber</dc:creator>
  <cp:lastModifiedBy>amber</cp:lastModifiedBy>
  <dcterms:modified xsi:type="dcterms:W3CDTF">2023-09-20T02:06:00Z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AF6116268FA04476B6B3B291111A4E11_11</vt:lpwstr>
  </property>
</Properties>
</file>