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hint="eastAsia" w:ascii="方正小标宋简体" w:hAnsi="黑体" w:eastAsia="方正小标宋简体" w:cs="Times New Roman"/>
          <w:w w:val="9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w w:val="90"/>
          <w:sz w:val="44"/>
          <w:szCs w:val="44"/>
        </w:rPr>
        <w:t>新时代高校教师职业行为十项准则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教师是人类灵魂的工程师，是人类文明的传承者。长期以来，广大教师贯彻党的教育方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二、自觉爱国守法。忠于祖国，忠于人民，恪守宪法原则，遵守法律法规，依法履行教师职责；不得损害国家利益、社会公共利益，或违背社会公序良俗。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十、积极奉献社会。履行社会责任，贡献聪明才智，树立正确义利观；不得假公济私，擅自利用学校名义或校名、校徽、专利、场所等资源谋取个人利益。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DC13148"/>
    <w:rsid w:val="78F3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2023-12-06T01:30:00Z</dcterms:created>
  <dc:creator>Huawei</dc:creator>
  <cp:lastModifiedBy>M</cp:lastModifiedBy>
  <dcterms:modified xsi:type="dcterms:W3CDTF">2023-12-06T01:34:17Z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2105FB0D1F3F4A7A80878A3A8C4C72A3_12</vt:lpwstr>
  </property>
</Properties>
</file>