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CCAD5">
      <w:pPr>
        <w:spacing w:line="600" w:lineRule="exact"/>
        <w:jc w:val="both"/>
        <w:rPr>
          <w:rFonts w:hint="default" w:ascii="方正小标宋简体" w:hAnsi="黑体" w:eastAsia="方正小标宋简体"/>
          <w:sz w:val="44"/>
          <w:szCs w:val="44"/>
          <w:lang w:val="en-US" w:eastAsia="zh-CN"/>
        </w:rPr>
      </w:pPr>
      <w:r>
        <w:rPr>
          <w:rFonts w:hint="eastAsia" w:ascii="黑体" w:hAnsi="黑体" w:eastAsia="黑体" w:cs="黑体"/>
          <w:sz w:val="28"/>
          <w:szCs w:val="28"/>
          <w:lang w:val="en-US" w:eastAsia="zh-CN"/>
        </w:rPr>
        <w:t>附件2：</w:t>
      </w:r>
    </w:p>
    <w:p w14:paraId="2498505A">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lang w:val="en-US" w:eastAsia="zh-CN"/>
        </w:rPr>
        <w:t>2025年赤峰学院</w:t>
      </w:r>
      <w:r>
        <w:rPr>
          <w:rFonts w:hint="eastAsia" w:ascii="方正小标宋简体" w:hAnsi="黑体" w:eastAsia="方正小标宋简体"/>
          <w:sz w:val="44"/>
          <w:szCs w:val="44"/>
        </w:rPr>
        <w:t>“绿色通道”引进</w:t>
      </w:r>
    </w:p>
    <w:p w14:paraId="66284256">
      <w:pPr>
        <w:spacing w:line="600" w:lineRule="exact"/>
        <w:jc w:val="center"/>
        <w:rPr>
          <w:rFonts w:ascii="方正小标宋简体" w:hAnsi="黑体" w:eastAsia="方正小标宋简体"/>
          <w:sz w:val="44"/>
          <w:szCs w:val="44"/>
        </w:rPr>
      </w:pPr>
      <w:r>
        <w:rPr>
          <w:rFonts w:hint="eastAsia" w:ascii="方正小标宋简体" w:hAnsi="黑体" w:eastAsia="方正小标宋简体"/>
          <w:sz w:val="44"/>
          <w:szCs w:val="44"/>
          <w:lang w:val="en-US" w:eastAsia="zh-CN"/>
        </w:rPr>
        <w:t>硕士研究生人才</w:t>
      </w:r>
      <w:r>
        <w:rPr>
          <w:rFonts w:hint="eastAsia" w:ascii="方正小标宋简体" w:hAnsi="黑体" w:eastAsia="方正小标宋简体"/>
          <w:sz w:val="44"/>
          <w:szCs w:val="44"/>
        </w:rPr>
        <w:t>评价表</w:t>
      </w:r>
      <w:r>
        <w:rPr>
          <w:rFonts w:hint="eastAsia" w:ascii="方正小标宋简体" w:hAnsi="黑体" w:eastAsia="方正小标宋简体"/>
          <w:sz w:val="44"/>
          <w:szCs w:val="44"/>
          <w:lang w:val="en-US" w:eastAsia="zh-CN"/>
        </w:rPr>
        <w:t>填报说</w:t>
      </w:r>
      <w:r>
        <w:rPr>
          <w:rFonts w:hint="eastAsia" w:ascii="方正小标宋简体" w:hAnsi="黑体" w:eastAsia="方正小标宋简体"/>
          <w:sz w:val="44"/>
          <w:szCs w:val="44"/>
        </w:rPr>
        <w:t>明</w:t>
      </w:r>
    </w:p>
    <w:p w14:paraId="1DDB80DC">
      <w:pPr>
        <w:spacing w:line="600" w:lineRule="exact"/>
        <w:ind w:firstLine="640" w:firstLineChars="200"/>
        <w:rPr>
          <w:rFonts w:hint="eastAsia" w:ascii="楷体_GB2312" w:hAnsi="黑体" w:eastAsia="楷体_GB2312"/>
          <w:sz w:val="32"/>
          <w:szCs w:val="32"/>
        </w:rPr>
      </w:pPr>
    </w:p>
    <w:p w14:paraId="767AB1C5">
      <w:pPr>
        <w:spacing w:line="600" w:lineRule="exact"/>
        <w:ind w:firstLine="640" w:firstLineChars="200"/>
        <w:rPr>
          <w:rFonts w:ascii="楷体_GB2312" w:hAnsi="黑体" w:eastAsia="楷体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专业层次方面：</w:t>
      </w:r>
    </w:p>
    <w:p w14:paraId="2A7C9D63">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一</w:t>
      </w:r>
      <w:r>
        <w:rPr>
          <w:rFonts w:hint="eastAsia" w:ascii="仿宋_GB2312" w:hAnsi="黑体" w:eastAsia="仿宋_GB2312"/>
          <w:sz w:val="32"/>
          <w:szCs w:val="32"/>
          <w:lang w:eastAsia="zh-CN"/>
        </w:rPr>
        <w:t>）</w:t>
      </w:r>
      <w:r>
        <w:rPr>
          <w:rFonts w:hint="eastAsia" w:ascii="仿宋_GB2312" w:hAnsi="黑体" w:eastAsia="仿宋_GB2312"/>
          <w:sz w:val="32"/>
          <w:szCs w:val="32"/>
        </w:rPr>
        <w:t>一流大学和一流学科目录，以《教育部</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财政部</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国家发展改革委关于公布第二轮“双一流”建设高校及建设学科名单的通知》（教研函〔2022〕1号）为准，A类36所</w:t>
      </w:r>
      <w:r>
        <w:rPr>
          <w:rFonts w:ascii="仿宋_GB2312" w:hAnsi="黑体" w:eastAsia="仿宋_GB2312"/>
          <w:sz w:val="32"/>
          <w:szCs w:val="32"/>
        </w:rPr>
        <w:t>高校目录</w:t>
      </w:r>
      <w:r>
        <w:rPr>
          <w:rFonts w:hint="eastAsia" w:ascii="仿宋_GB2312" w:hAnsi="黑体" w:eastAsia="仿宋_GB2312"/>
          <w:sz w:val="32"/>
          <w:szCs w:val="32"/>
        </w:rPr>
        <w:t>，</w:t>
      </w:r>
      <w:r>
        <w:rPr>
          <w:rFonts w:ascii="仿宋_GB2312" w:hAnsi="黑体" w:eastAsia="仿宋_GB2312"/>
          <w:sz w:val="32"/>
          <w:szCs w:val="32"/>
        </w:rPr>
        <w:t>以</w:t>
      </w:r>
      <w:r>
        <w:rPr>
          <w:rFonts w:hint="eastAsia" w:ascii="仿宋_GB2312" w:hAnsi="黑体" w:eastAsia="仿宋_GB2312"/>
          <w:sz w:val="32"/>
          <w:szCs w:val="32"/>
        </w:rPr>
        <w:t>《教育部 财政部 国家发展改革委关于公布世界一流大学和一流学科建设高校及建设学科名单的通知》（教研函〔20</w:t>
      </w:r>
      <w:r>
        <w:rPr>
          <w:rFonts w:ascii="仿宋_GB2312" w:hAnsi="黑体" w:eastAsia="仿宋_GB2312"/>
          <w:sz w:val="32"/>
          <w:szCs w:val="32"/>
        </w:rPr>
        <w:t>17</w:t>
      </w:r>
      <w:r>
        <w:rPr>
          <w:rFonts w:hint="eastAsia" w:ascii="仿宋_GB2312" w:hAnsi="黑体" w:eastAsia="仿宋_GB2312"/>
          <w:sz w:val="32"/>
          <w:szCs w:val="32"/>
        </w:rPr>
        <w:t>〕</w:t>
      </w:r>
      <w:r>
        <w:rPr>
          <w:rFonts w:ascii="仿宋_GB2312" w:hAnsi="黑体" w:eastAsia="仿宋_GB2312"/>
          <w:sz w:val="32"/>
          <w:szCs w:val="32"/>
        </w:rPr>
        <w:t>2</w:t>
      </w:r>
      <w:r>
        <w:rPr>
          <w:rFonts w:hint="eastAsia" w:ascii="仿宋_GB2312" w:hAnsi="黑体" w:eastAsia="仿宋_GB2312"/>
          <w:sz w:val="32"/>
          <w:szCs w:val="32"/>
        </w:rPr>
        <w:t>号）为准。</w:t>
      </w:r>
    </w:p>
    <w:p w14:paraId="3B772704">
      <w:pPr>
        <w:overflowPunct w:val="0"/>
        <w:spacing w:line="560" w:lineRule="exact"/>
        <w:ind w:firstLine="640" w:firstLineChars="200"/>
        <w:rPr>
          <w:rFonts w:ascii="黑体" w:hAnsi="黑体" w:eastAsia="黑体" w:cs="楷体"/>
          <w:kern w:val="0"/>
          <w:sz w:val="32"/>
          <w:szCs w:val="32"/>
        </w:rPr>
      </w:pPr>
      <w:r>
        <w:rPr>
          <w:rFonts w:hint="eastAsia" w:ascii="黑体" w:hAnsi="黑体" w:eastAsia="黑体"/>
          <w:sz w:val="32"/>
          <w:szCs w:val="32"/>
        </w:rPr>
        <w:t>注：</w:t>
      </w:r>
      <w:r>
        <w:rPr>
          <w:rFonts w:hint="eastAsia" w:ascii="黑体" w:hAnsi="黑体" w:eastAsia="黑体" w:cs="楷体"/>
          <w:kern w:val="0"/>
          <w:sz w:val="32"/>
          <w:szCs w:val="32"/>
        </w:rPr>
        <w:t xml:space="preserve"> A类36所</w:t>
      </w:r>
    </w:p>
    <w:p w14:paraId="27EB21DB">
      <w:pPr>
        <w:overflowPunct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14:paraId="59BB6F71">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二</w:t>
      </w:r>
      <w:r>
        <w:rPr>
          <w:rFonts w:hint="eastAsia" w:ascii="仿宋_GB2312" w:hAnsi="黑体" w:eastAsia="仿宋_GB2312"/>
          <w:sz w:val="32"/>
          <w:szCs w:val="32"/>
          <w:lang w:eastAsia="zh-CN"/>
        </w:rPr>
        <w:t>）</w:t>
      </w:r>
      <w:r>
        <w:rPr>
          <w:rFonts w:hint="eastAsia" w:ascii="仿宋_GB2312" w:hAnsi="黑体" w:eastAsia="仿宋_GB2312"/>
          <w:sz w:val="32"/>
          <w:szCs w:val="32"/>
        </w:rPr>
        <w:t>在一流学科认定上，所学专业须属该学科内专业。</w:t>
      </w:r>
    </w:p>
    <w:p w14:paraId="35D999AB">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三</w:t>
      </w:r>
      <w:r>
        <w:rPr>
          <w:rFonts w:hint="eastAsia" w:ascii="仿宋_GB2312" w:hAnsi="黑体" w:eastAsia="仿宋_GB2312"/>
          <w:sz w:val="32"/>
          <w:szCs w:val="32"/>
          <w:lang w:eastAsia="zh-CN"/>
        </w:rPr>
        <w:t>）海外学历学校排名，以该校权威世界大学排名历史最高为准（须报名人员提供权威世界大学排名</w:t>
      </w:r>
      <w:r>
        <w:rPr>
          <w:rFonts w:hint="eastAsia" w:ascii="仿宋_GB2312" w:hAnsi="黑体" w:eastAsia="仿宋_GB2312"/>
          <w:sz w:val="32"/>
          <w:szCs w:val="32"/>
          <w:lang w:val="en-US" w:eastAsia="zh-CN"/>
        </w:rPr>
        <w:t>佐证材料</w:t>
      </w:r>
      <w:r>
        <w:rPr>
          <w:rFonts w:hint="eastAsia" w:ascii="仿宋_GB2312" w:hAnsi="黑体" w:eastAsia="仿宋_GB2312"/>
          <w:sz w:val="32"/>
          <w:szCs w:val="32"/>
          <w:lang w:eastAsia="zh-CN"/>
        </w:rPr>
        <w:t>，无法提供的，以202</w:t>
      </w:r>
      <w:r>
        <w:rPr>
          <w:rFonts w:hint="eastAsia" w:ascii="仿宋_GB2312" w:hAnsi="黑体" w:eastAsia="仿宋_GB2312"/>
          <w:sz w:val="32"/>
          <w:szCs w:val="32"/>
          <w:lang w:val="en-US" w:eastAsia="zh-CN"/>
        </w:rPr>
        <w:t>5</w:t>
      </w:r>
      <w:r>
        <w:rPr>
          <w:rFonts w:hint="eastAsia" w:ascii="仿宋_GB2312" w:hAnsi="黑体" w:eastAsia="仿宋_GB2312"/>
          <w:sz w:val="32"/>
          <w:szCs w:val="32"/>
          <w:lang w:eastAsia="zh-CN"/>
        </w:rPr>
        <w:t>年权威世界大学排名为准）。</w:t>
      </w:r>
    </w:p>
    <w:p w14:paraId="3D56CDCA">
      <w:pPr>
        <w:spacing w:line="600" w:lineRule="exact"/>
        <w:ind w:firstLine="640" w:firstLineChars="200"/>
        <w:rPr>
          <w:rFonts w:hint="default" w:ascii="仿宋_GB2312" w:hAnsi="黑体" w:eastAsia="仿宋_GB2312"/>
          <w:sz w:val="32"/>
          <w:szCs w:val="32"/>
          <w:lang w:val="en-US" w:eastAsia="zh-CN"/>
        </w:rPr>
      </w:pPr>
      <w:r>
        <w:rPr>
          <w:rFonts w:hint="eastAsia" w:ascii="Times New Roman" w:hAnsi="Times New Roman" w:eastAsia="仿宋_GB2312" w:cs="Times New Roman"/>
          <w:b w:val="0"/>
          <w:color w:val="auto"/>
          <w:spacing w:val="0"/>
          <w:kern w:val="2"/>
          <w:sz w:val="32"/>
          <w:szCs w:val="32"/>
          <w:highlight w:val="none"/>
          <w:lang w:val="en-US" w:eastAsia="zh-CN" w:bidi="ar-SA"/>
        </w:rPr>
        <w:t>权威世界大学排名包括：</w:t>
      </w:r>
      <w:r>
        <w:rPr>
          <w:rFonts w:hint="default" w:ascii="Times New Roman" w:hAnsi="Times New Roman" w:eastAsia="仿宋_GB2312" w:cs="Times New Roman"/>
          <w:b w:val="0"/>
          <w:color w:val="auto"/>
          <w:spacing w:val="0"/>
          <w:kern w:val="2"/>
          <w:sz w:val="32"/>
          <w:szCs w:val="32"/>
          <w:highlight w:val="none"/>
          <w:lang w:val="en-US" w:eastAsia="zh-CN" w:bidi="ar-SA"/>
        </w:rPr>
        <w:t>英国QS世界大学排名、英国泰晤士高等教育世界大学排名、《美国新闻与世界报道》世界大学排名、软科世界大学学术排名</w:t>
      </w:r>
      <w:r>
        <w:rPr>
          <w:rFonts w:hint="eastAsia" w:ascii="Times New Roman" w:hAnsi="Times New Roman" w:eastAsia="仿宋_GB2312" w:cs="Times New Roman"/>
          <w:b w:val="0"/>
          <w:color w:val="auto"/>
          <w:spacing w:val="0"/>
          <w:kern w:val="2"/>
          <w:sz w:val="32"/>
          <w:szCs w:val="32"/>
          <w:highlight w:val="none"/>
          <w:lang w:val="en-US" w:eastAsia="zh-CN" w:bidi="ar-SA"/>
        </w:rPr>
        <w:t>。</w:t>
      </w:r>
    </w:p>
    <w:p w14:paraId="7C4BB713">
      <w:pPr>
        <w:spacing w:line="600" w:lineRule="exact"/>
        <w:ind w:firstLine="640" w:firstLineChars="200"/>
        <w:rPr>
          <w:rFonts w:ascii="楷体_GB2312" w:hAnsi="黑体" w:eastAsia="楷体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成绩业绩方面：</w:t>
      </w:r>
    </w:p>
    <w:p w14:paraId="631AE7C0">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以学校出具的加盖印章的研究生成绩单为准，按照表内对应分值赋分。不能提供有效成绩单的，不得分。学校成绩单未体现GPA的，按下列计算方法计算GPA。</w:t>
      </w:r>
    </w:p>
    <w:p w14:paraId="0D9854F8">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GPA计算方法：</w:t>
      </w:r>
    </w:p>
    <w:p w14:paraId="2AE934D2">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GPA＝所学课程学分绩点之和÷所学课程学分之和。</w:t>
      </w:r>
    </w:p>
    <w:p w14:paraId="286C80F4">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课程学分绩点=课程绩点×学分数。</w:t>
      </w:r>
    </w:p>
    <w:p w14:paraId="0E3F67B1">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rPr>
        <w:t>课程绩点=4-3（100-X）^2/1600（60≤X≤100， X 为百分制课程分数）。</w:t>
      </w:r>
    </w:p>
    <w:p w14:paraId="70439C6A">
      <w:pPr>
        <w:spacing w:line="600" w:lineRule="exact"/>
        <w:ind w:firstLine="640" w:firstLineChars="200"/>
        <w:rPr>
          <w:rFonts w:ascii="楷体_GB2312" w:hAnsi="黑体" w:eastAsia="楷体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研究成果方面：</w:t>
      </w:r>
    </w:p>
    <w:p w14:paraId="6CAC9285">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一</w:t>
      </w:r>
      <w:r>
        <w:rPr>
          <w:rFonts w:hint="eastAsia" w:ascii="仿宋_GB2312" w:hAnsi="黑体" w:eastAsia="仿宋_GB2312"/>
          <w:sz w:val="32"/>
          <w:szCs w:val="32"/>
          <w:lang w:eastAsia="zh-CN"/>
        </w:rPr>
        <w:t>）</w:t>
      </w:r>
      <w:r>
        <w:rPr>
          <w:rFonts w:hint="eastAsia" w:ascii="仿宋_GB2312" w:hAnsi="黑体" w:eastAsia="仿宋_GB2312"/>
          <w:sz w:val="32"/>
          <w:szCs w:val="32"/>
        </w:rPr>
        <w:t>需提供检索页、扫描文本及作品文件。</w:t>
      </w:r>
    </w:p>
    <w:p w14:paraId="0CB7D2AF">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二</w:t>
      </w:r>
      <w:r>
        <w:rPr>
          <w:rFonts w:hint="eastAsia" w:ascii="仿宋_GB2312" w:hAnsi="黑体" w:eastAsia="仿宋_GB2312"/>
          <w:sz w:val="32"/>
          <w:szCs w:val="32"/>
          <w:lang w:eastAsia="zh-CN"/>
        </w:rPr>
        <w:t>）</w:t>
      </w:r>
      <w:r>
        <w:rPr>
          <w:rFonts w:hint="eastAsia" w:ascii="仿宋_GB2312" w:hAnsi="黑体" w:eastAsia="仿宋_GB2312"/>
          <w:sz w:val="32"/>
          <w:szCs w:val="32"/>
        </w:rPr>
        <w:t>通讯</w:t>
      </w:r>
      <w:r>
        <w:rPr>
          <w:rFonts w:ascii="仿宋_GB2312" w:hAnsi="黑体" w:eastAsia="仿宋_GB2312"/>
          <w:sz w:val="32"/>
          <w:szCs w:val="32"/>
        </w:rPr>
        <w:t>作者、</w:t>
      </w:r>
      <w:r>
        <w:rPr>
          <w:rFonts w:hint="eastAsia" w:ascii="仿宋_GB2312" w:hAnsi="黑体" w:eastAsia="仿宋_GB2312"/>
          <w:sz w:val="32"/>
          <w:szCs w:val="32"/>
        </w:rPr>
        <w:t>共同</w:t>
      </w:r>
      <w:r>
        <w:rPr>
          <w:rFonts w:ascii="仿宋_GB2312" w:hAnsi="黑体" w:eastAsia="仿宋_GB2312"/>
          <w:sz w:val="32"/>
          <w:szCs w:val="32"/>
        </w:rPr>
        <w:t>一作按第一作者计分</w:t>
      </w:r>
      <w:r>
        <w:rPr>
          <w:rFonts w:hint="eastAsia" w:ascii="仿宋_GB2312" w:hAnsi="黑体" w:eastAsia="仿宋_GB2312"/>
          <w:sz w:val="32"/>
          <w:szCs w:val="32"/>
        </w:rPr>
        <w:t>。</w:t>
      </w:r>
    </w:p>
    <w:p w14:paraId="53A29473">
      <w:pPr>
        <w:spacing w:line="600" w:lineRule="exact"/>
        <w:ind w:firstLine="640" w:firstLineChars="200"/>
        <w:rPr>
          <w:rFonts w:ascii="楷体_GB2312" w:hAnsi="黑体" w:eastAsia="楷体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荣誉方面：</w:t>
      </w:r>
    </w:p>
    <w:p w14:paraId="429C5D40">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一</w:t>
      </w:r>
      <w:r>
        <w:rPr>
          <w:rFonts w:hint="eastAsia" w:ascii="仿宋_GB2312" w:hAnsi="黑体" w:eastAsia="仿宋_GB2312"/>
          <w:sz w:val="32"/>
          <w:szCs w:val="32"/>
          <w:lang w:eastAsia="zh-CN"/>
        </w:rPr>
        <w:t>）</w:t>
      </w:r>
      <w:r>
        <w:rPr>
          <w:rFonts w:hint="eastAsia" w:ascii="仿宋_GB2312" w:hAnsi="黑体" w:eastAsia="仿宋_GB2312"/>
          <w:sz w:val="32"/>
          <w:szCs w:val="32"/>
        </w:rPr>
        <w:t>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省（自治区、直辖市）党委政府委办厅局及市党委、政府授予或颁发的荣誉。</w:t>
      </w:r>
    </w:p>
    <w:p w14:paraId="7E176DFB">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二</w:t>
      </w:r>
      <w:r>
        <w:rPr>
          <w:rFonts w:hint="eastAsia" w:ascii="仿宋_GB2312" w:hAnsi="黑体" w:eastAsia="仿宋_GB2312"/>
          <w:sz w:val="32"/>
          <w:szCs w:val="32"/>
          <w:lang w:eastAsia="zh-CN"/>
        </w:rPr>
        <w:t>）</w:t>
      </w:r>
      <w:r>
        <w:rPr>
          <w:rFonts w:hint="eastAsia" w:ascii="仿宋_GB2312" w:hAnsi="黑体" w:eastAsia="仿宋_GB2312"/>
          <w:sz w:val="32"/>
          <w:szCs w:val="32"/>
        </w:rPr>
        <w:t>学校授予的荣誉不计算得分。</w:t>
      </w:r>
    </w:p>
    <w:p w14:paraId="633AB67D">
      <w:pPr>
        <w:spacing w:line="600" w:lineRule="exact"/>
        <w:ind w:firstLine="640" w:firstLineChars="200"/>
        <w:rPr>
          <w:rFonts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三</w:t>
      </w:r>
      <w:r>
        <w:rPr>
          <w:rFonts w:hint="eastAsia" w:ascii="仿宋_GB2312" w:hAnsi="黑体" w:eastAsia="仿宋_GB2312"/>
          <w:sz w:val="32"/>
          <w:szCs w:val="32"/>
          <w:lang w:eastAsia="zh-CN"/>
        </w:rPr>
        <w:t>）</w:t>
      </w:r>
      <w:r>
        <w:rPr>
          <w:rFonts w:hint="eastAsia" w:ascii="仿宋_GB2312" w:hAnsi="黑体" w:eastAsia="仿宋_GB2312"/>
          <w:sz w:val="32"/>
          <w:szCs w:val="32"/>
        </w:rPr>
        <w:t>各类协会、社会组织、组委会发放证书的不加分。</w:t>
      </w:r>
    </w:p>
    <w:p w14:paraId="4EB565FE">
      <w:pPr>
        <w:spacing w:line="60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val="en-US" w:eastAsia="zh-CN"/>
        </w:rPr>
        <w:t>五</w:t>
      </w:r>
      <w:bookmarkStart w:id="0" w:name="_GoBack"/>
      <w:bookmarkEnd w:id="0"/>
      <w:r>
        <w:rPr>
          <w:rFonts w:hint="eastAsia" w:ascii="黑体" w:hAnsi="黑体" w:eastAsia="黑体"/>
          <w:sz w:val="32"/>
          <w:szCs w:val="32"/>
        </w:rPr>
        <w:t>、</w:t>
      </w:r>
      <w:r>
        <w:rPr>
          <w:rFonts w:hint="eastAsia" w:ascii="黑体" w:hAnsi="黑体" w:eastAsia="黑体"/>
          <w:sz w:val="32"/>
          <w:szCs w:val="32"/>
          <w:lang w:val="en-US" w:eastAsia="zh-CN"/>
        </w:rPr>
        <w:t>其他方面</w:t>
      </w:r>
    </w:p>
    <w:p w14:paraId="098413DF">
      <w:pPr>
        <w:spacing w:line="60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认定标准以</w:t>
      </w:r>
      <w:r>
        <w:rPr>
          <w:rFonts w:hint="eastAsia" w:ascii="仿宋_GB2312" w:hAnsi="黑体" w:eastAsia="仿宋_GB2312"/>
          <w:sz w:val="32"/>
          <w:szCs w:val="32"/>
          <w:lang w:val="en-US" w:eastAsia="zh-CN"/>
        </w:rPr>
        <w:t>赤峰学院</w:t>
      </w:r>
      <w:r>
        <w:rPr>
          <w:rFonts w:hint="eastAsia" w:ascii="仿宋_GB2312" w:hAnsi="黑体" w:eastAsia="仿宋_GB2312"/>
          <w:sz w:val="32"/>
          <w:szCs w:val="32"/>
        </w:rPr>
        <w:t>解释为准。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zhjODQyZDQ2Y2NkYzdiN2MxMmVmZGIxMjMzYjQyMmMifQ=="/>
    <w:docVar w:name="KSO_WPS_MARK_KEY" w:val="411860b0-9a4a-4a8a-83c6-8371a85f1601"/>
  </w:docVars>
  <w:rsids>
    <w:rsidRoot w:val="00BF39F8"/>
    <w:rsid w:val="00003412"/>
    <w:rsid w:val="000141F8"/>
    <w:rsid w:val="000B0F0A"/>
    <w:rsid w:val="000B7CD2"/>
    <w:rsid w:val="000C4702"/>
    <w:rsid w:val="000E2F04"/>
    <w:rsid w:val="0011787E"/>
    <w:rsid w:val="00167296"/>
    <w:rsid w:val="00187753"/>
    <w:rsid w:val="00215C73"/>
    <w:rsid w:val="00222188"/>
    <w:rsid w:val="0024420F"/>
    <w:rsid w:val="00246C17"/>
    <w:rsid w:val="00257BEF"/>
    <w:rsid w:val="0033070E"/>
    <w:rsid w:val="003A1926"/>
    <w:rsid w:val="00405CD7"/>
    <w:rsid w:val="004074AB"/>
    <w:rsid w:val="00411F1B"/>
    <w:rsid w:val="004701D7"/>
    <w:rsid w:val="00474597"/>
    <w:rsid w:val="00481615"/>
    <w:rsid w:val="004B0080"/>
    <w:rsid w:val="004C38EE"/>
    <w:rsid w:val="00510CCF"/>
    <w:rsid w:val="00583279"/>
    <w:rsid w:val="005B0CC2"/>
    <w:rsid w:val="006C755C"/>
    <w:rsid w:val="006E5E26"/>
    <w:rsid w:val="00714773"/>
    <w:rsid w:val="007D02FB"/>
    <w:rsid w:val="007D03F6"/>
    <w:rsid w:val="00814737"/>
    <w:rsid w:val="00825262"/>
    <w:rsid w:val="008373E4"/>
    <w:rsid w:val="00844423"/>
    <w:rsid w:val="00907D48"/>
    <w:rsid w:val="00940A04"/>
    <w:rsid w:val="00961972"/>
    <w:rsid w:val="009A6067"/>
    <w:rsid w:val="00A175BC"/>
    <w:rsid w:val="00A3733F"/>
    <w:rsid w:val="00A662B8"/>
    <w:rsid w:val="00AB10E5"/>
    <w:rsid w:val="00AB60D4"/>
    <w:rsid w:val="00AE4153"/>
    <w:rsid w:val="00B128ED"/>
    <w:rsid w:val="00B210ED"/>
    <w:rsid w:val="00B333E6"/>
    <w:rsid w:val="00B35A7F"/>
    <w:rsid w:val="00B369F3"/>
    <w:rsid w:val="00BD37FD"/>
    <w:rsid w:val="00BF39F8"/>
    <w:rsid w:val="00C03481"/>
    <w:rsid w:val="00C63BE0"/>
    <w:rsid w:val="00C84EBE"/>
    <w:rsid w:val="00D33B7F"/>
    <w:rsid w:val="00D45A60"/>
    <w:rsid w:val="00D80AA2"/>
    <w:rsid w:val="00DD60AC"/>
    <w:rsid w:val="00DF74F9"/>
    <w:rsid w:val="00E06642"/>
    <w:rsid w:val="00E54A76"/>
    <w:rsid w:val="00E7362A"/>
    <w:rsid w:val="00E9095B"/>
    <w:rsid w:val="00E93FBC"/>
    <w:rsid w:val="00F14B75"/>
    <w:rsid w:val="00F331FE"/>
    <w:rsid w:val="00F55F59"/>
    <w:rsid w:val="00F96762"/>
    <w:rsid w:val="00FB6264"/>
    <w:rsid w:val="00FB7E46"/>
    <w:rsid w:val="00FE7DE1"/>
    <w:rsid w:val="00FF00C7"/>
    <w:rsid w:val="00FF4782"/>
    <w:rsid w:val="0FBA55CD"/>
    <w:rsid w:val="13AB51D9"/>
    <w:rsid w:val="14D014D6"/>
    <w:rsid w:val="16553E17"/>
    <w:rsid w:val="2BBB66F6"/>
    <w:rsid w:val="2C4D1BAA"/>
    <w:rsid w:val="30D93287"/>
    <w:rsid w:val="4C1C5CD8"/>
    <w:rsid w:val="5B231846"/>
    <w:rsid w:val="5B561014"/>
    <w:rsid w:val="663233EC"/>
    <w:rsid w:val="73CE23C2"/>
    <w:rsid w:val="77D10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赤峰市人力资源和社会保障局</Company>
  <Pages>3</Pages>
  <Words>976</Words>
  <Characters>1018</Characters>
  <Lines>7</Lines>
  <Paragraphs>2</Paragraphs>
  <TotalTime>2</TotalTime>
  <ScaleCrop>false</ScaleCrop>
  <LinksUpToDate>false</LinksUpToDate>
  <CharactersWithSpaces>1025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2022-05-05T12:25:00Z</dcterms:created>
  <dc:creator>郭鲁蒙</dc:creator>
  <cp:lastModifiedBy>郑昕</cp:lastModifiedBy>
  <cp:lastPrinted>2025-10-28T09:23:00Z</cp:lastPrinted>
  <dcterms:modified xsi:type="dcterms:W3CDTF">2025-10-31T01:05:15Z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C5CF6C44FE664C31BBCCDE120BD840DF_12</vt:lpwstr>
  </property>
  <property fmtid="{D5CDD505-2E9C-101B-9397-08002B2CF9AE}" pid="4" name="KSOTemplateDocerSaveRecord">
    <vt:lpwstr>eyJoZGlkIjoiNjYyZTA0NDUxYWYzODZlZDZmOTI1ZjVjYjcyNDUzOTkiLCJ1c2VySWQiOiIxNjM1MDYxNTQ4In0=</vt:lpwstr>
  </property>
</Properties>
</file>