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0" w:beforeAutospacing="0" w:after="602" w:afterAutospacing="0" w:line="450" w:lineRule="atLeast"/>
        <w:jc w:val="center"/>
        <w:rPr>
          <w:rFonts w:hint="eastAsia" w:ascii="宋体" w:hAnsi="宋体" w:eastAsia="宋体" w:cs="宋体"/>
          <w:color w:val="auto"/>
          <w:sz w:val="36"/>
          <w:szCs w:val="36"/>
          <w:lang w:val="en-US" w:eastAsia="zh-CN"/>
        </w:rPr>
      </w:pPr>
      <w:bookmarkStart w:id="0" w:name="_GoBack"/>
      <w:bookmarkEnd w:id="0"/>
      <w:r>
        <w:rPr>
          <w:rFonts w:hint="eastAsia" w:ascii="宋体" w:hAnsi="宋体" w:eastAsia="宋体" w:cs="宋体"/>
          <w:color w:val="auto"/>
          <w:sz w:val="36"/>
          <w:szCs w:val="36"/>
          <w:lang w:eastAsia="zh-CN"/>
        </w:rPr>
        <w:t>赤峰学院</w:t>
      </w:r>
      <w:r>
        <w:rPr>
          <w:rFonts w:hint="eastAsia" w:cs="宋体"/>
          <w:color w:val="auto"/>
          <w:sz w:val="36"/>
          <w:szCs w:val="36"/>
          <w:lang w:val="en-US" w:eastAsia="zh-CN"/>
        </w:rPr>
        <w:t>经济与管理学院虚拟仿真及线上一流课程建设项目</w:t>
      </w:r>
      <w:r>
        <w:rPr>
          <w:rFonts w:hint="eastAsia" w:ascii="宋体" w:hAnsi="宋体" w:eastAsia="宋体" w:cs="宋体"/>
          <w:color w:val="auto"/>
          <w:sz w:val="36"/>
          <w:szCs w:val="36"/>
          <w:lang w:val="en-US" w:eastAsia="zh-CN"/>
        </w:rPr>
        <w:t>询价文件</w:t>
      </w:r>
    </w:p>
    <w:p>
      <w:pPr>
        <w:rPr>
          <w:rFonts w:hint="default" w:ascii="宋体" w:hAnsi="宋体" w:eastAsia="宋体" w:cs="宋体"/>
          <w:color w:val="auto"/>
          <w:sz w:val="30"/>
          <w:szCs w:val="30"/>
          <w:highlight w:val="none"/>
          <w:lang w:val="en-US" w:eastAsia="zh-CN"/>
        </w:rPr>
      </w:pPr>
      <w:r>
        <w:rPr>
          <w:rFonts w:hint="eastAsia" w:ascii="宋体" w:hAnsi="宋体" w:eastAsia="宋体" w:cs="宋体"/>
          <w:color w:val="auto"/>
          <w:sz w:val="30"/>
          <w:szCs w:val="30"/>
          <w:highlight w:val="none"/>
          <w:lang w:val="en-US" w:eastAsia="zh-CN"/>
        </w:rPr>
        <w:t>项目编号（采购编号、合同编号）：</w:t>
      </w:r>
      <w:r>
        <w:rPr>
          <w:rFonts w:hint="eastAsia" w:ascii="宋体" w:hAnsi="宋体" w:cs="宋体"/>
          <w:color w:val="auto"/>
          <w:sz w:val="30"/>
          <w:szCs w:val="30"/>
          <w:highlight w:val="none"/>
          <w:lang w:val="en-US" w:eastAsia="zh-CN"/>
        </w:rPr>
        <w:t>JJYGLXY2025</w:t>
      </w:r>
    </w:p>
    <w:p>
      <w:pPr>
        <w:rPr>
          <w:rFonts w:hint="eastAsia" w:ascii="宋体" w:hAnsi="宋体" w:eastAsia="宋体" w:cs="宋体"/>
          <w:color w:val="auto"/>
          <w:sz w:val="30"/>
          <w:szCs w:val="30"/>
          <w:lang w:val="en-US" w:eastAsia="zh-CN"/>
        </w:rPr>
      </w:pPr>
    </w:p>
    <w:p>
      <w:pPr>
        <w:rPr>
          <w:rFonts w:hint="eastAsia" w:ascii="宋体" w:hAnsi="宋体" w:eastAsia="宋体" w:cs="宋体"/>
          <w:color w:val="auto"/>
          <w:sz w:val="30"/>
          <w:szCs w:val="30"/>
          <w:lang w:val="en-US" w:eastAsia="zh-CN"/>
        </w:rPr>
      </w:pPr>
    </w:p>
    <w:p>
      <w:pPr>
        <w:rPr>
          <w:rFonts w:hint="eastAsia" w:ascii="宋体" w:hAnsi="宋体" w:eastAsia="宋体" w:cs="宋体"/>
          <w:color w:val="auto"/>
          <w:sz w:val="30"/>
          <w:szCs w:val="30"/>
          <w:lang w:val="en-US" w:eastAsia="zh-CN"/>
        </w:rPr>
      </w:pPr>
    </w:p>
    <w:p>
      <w:pPr>
        <w:rPr>
          <w:rFonts w:hint="eastAsia" w:ascii="宋体" w:hAnsi="宋体" w:eastAsia="宋体" w:cs="宋体"/>
          <w:color w:val="auto"/>
          <w:sz w:val="30"/>
          <w:szCs w:val="30"/>
          <w:lang w:val="en-US" w:eastAsia="zh-CN"/>
        </w:rPr>
      </w:pPr>
    </w:p>
    <w:p>
      <w:pPr>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审核意见：</w:t>
      </w:r>
    </w:p>
    <w:p>
      <w:pPr>
        <w:numPr>
          <w:ilvl w:val="0"/>
          <w:numId w:val="1"/>
        </w:numPr>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项目单位经办人（签字）：</w:t>
      </w:r>
    </w:p>
    <w:p>
      <w:pPr>
        <w:numPr>
          <w:ilvl w:val="0"/>
          <w:numId w:val="1"/>
        </w:numPr>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项目单位负责人（签字）：               (公章）</w:t>
      </w:r>
    </w:p>
    <w:p>
      <w:pPr>
        <w:numPr>
          <w:ilvl w:val="0"/>
          <w:numId w:val="1"/>
        </w:numPr>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资产处采购科（签字）：</w:t>
      </w:r>
    </w:p>
    <w:p>
      <w:pPr>
        <w:numPr>
          <w:ilvl w:val="0"/>
          <w:numId w:val="1"/>
        </w:numPr>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资产处处长（签字）：                   （公章）</w:t>
      </w:r>
    </w:p>
    <w:p>
      <w:pPr>
        <w:pStyle w:val="2"/>
        <w:widowControl/>
        <w:spacing w:before="0" w:beforeAutospacing="0" w:after="602" w:afterAutospacing="0" w:line="450" w:lineRule="atLeast"/>
        <w:jc w:val="center"/>
        <w:rPr>
          <w:rFonts w:hint="eastAsia" w:ascii="宋体" w:hAnsi="宋体" w:eastAsia="宋体" w:cs="宋体"/>
          <w:color w:val="auto"/>
          <w:kern w:val="0"/>
          <w:sz w:val="28"/>
          <w:szCs w:val="28"/>
          <w:lang w:val="en-US" w:eastAsia="zh-CN" w:bidi="ar"/>
        </w:rPr>
      </w:pPr>
    </w:p>
    <w:p>
      <w:pPr>
        <w:pStyle w:val="2"/>
        <w:widowControl/>
        <w:spacing w:before="0" w:beforeAutospacing="0" w:after="602" w:afterAutospacing="0" w:line="450" w:lineRule="atLeast"/>
        <w:jc w:val="center"/>
        <w:rPr>
          <w:rFonts w:hint="eastAsia" w:ascii="宋体" w:hAnsi="宋体" w:eastAsia="宋体" w:cs="宋体"/>
          <w:color w:val="auto"/>
          <w:kern w:val="0"/>
          <w:sz w:val="28"/>
          <w:szCs w:val="28"/>
          <w:lang w:val="en-US" w:eastAsia="zh-CN" w:bidi="ar"/>
        </w:rPr>
      </w:pPr>
    </w:p>
    <w:p>
      <w:pPr>
        <w:pStyle w:val="2"/>
        <w:widowControl/>
        <w:spacing w:before="0" w:beforeAutospacing="0" w:after="602" w:afterAutospacing="0" w:line="450" w:lineRule="atLeast"/>
        <w:jc w:val="center"/>
        <w:rPr>
          <w:rFonts w:hint="eastAsia" w:ascii="宋体" w:hAnsi="宋体" w:eastAsia="宋体" w:cs="宋体"/>
          <w:color w:val="auto"/>
          <w:kern w:val="0"/>
          <w:sz w:val="28"/>
          <w:szCs w:val="28"/>
          <w:lang w:val="en-US" w:eastAsia="zh-CN" w:bidi="ar"/>
        </w:rPr>
      </w:pPr>
      <w:r>
        <w:rPr>
          <w:rFonts w:hint="eastAsia" w:cs="宋体"/>
          <w:color w:val="auto"/>
          <w:kern w:val="0"/>
          <w:sz w:val="28"/>
          <w:szCs w:val="28"/>
          <w:lang w:val="en-US" w:eastAsia="zh-CN" w:bidi="ar"/>
        </w:rPr>
        <w:t>2025</w:t>
      </w:r>
      <w:r>
        <w:rPr>
          <w:rFonts w:hint="eastAsia" w:ascii="宋体" w:hAnsi="宋体" w:eastAsia="宋体" w:cs="宋体"/>
          <w:color w:val="auto"/>
          <w:kern w:val="0"/>
          <w:sz w:val="28"/>
          <w:szCs w:val="28"/>
          <w:lang w:val="en-US" w:eastAsia="zh-CN" w:bidi="ar"/>
        </w:rPr>
        <w:t>年</w:t>
      </w:r>
      <w:r>
        <w:rPr>
          <w:rFonts w:hint="eastAsia" w:cs="宋体"/>
          <w:color w:val="auto"/>
          <w:kern w:val="0"/>
          <w:sz w:val="28"/>
          <w:szCs w:val="28"/>
          <w:lang w:val="en-US" w:eastAsia="zh-CN" w:bidi="ar"/>
        </w:rPr>
        <w:t>12</w:t>
      </w:r>
      <w:r>
        <w:rPr>
          <w:rFonts w:hint="eastAsia" w:ascii="宋体" w:hAnsi="宋体" w:eastAsia="宋体" w:cs="宋体"/>
          <w:color w:val="auto"/>
          <w:kern w:val="0"/>
          <w:sz w:val="28"/>
          <w:szCs w:val="28"/>
          <w:lang w:val="en-US" w:eastAsia="zh-CN" w:bidi="ar"/>
        </w:rPr>
        <w:t xml:space="preserve">月   </w:t>
      </w:r>
    </w:p>
    <w:p>
      <w:pPr>
        <w:pStyle w:val="2"/>
        <w:widowControl/>
        <w:spacing w:before="0" w:beforeAutospacing="0" w:after="602" w:afterAutospacing="0" w:line="450" w:lineRule="atLeast"/>
        <w:jc w:val="center"/>
        <w:rPr>
          <w:rFonts w:hint="eastAsia" w:ascii="宋体" w:hAnsi="宋体" w:eastAsia="宋体" w:cs="宋体"/>
          <w:color w:val="auto"/>
          <w:kern w:val="0"/>
          <w:sz w:val="28"/>
          <w:szCs w:val="28"/>
          <w:lang w:val="en-US" w:eastAsia="zh-CN" w:bidi="ar"/>
        </w:rPr>
      </w:pPr>
    </w:p>
    <w:p>
      <w:pPr>
        <w:pStyle w:val="2"/>
        <w:widowControl/>
        <w:spacing w:before="0" w:beforeAutospacing="0" w:after="602" w:afterAutospacing="0" w:line="450" w:lineRule="atLeast"/>
        <w:jc w:val="center"/>
        <w:rPr>
          <w:rFonts w:hint="eastAsia" w:ascii="宋体" w:hAnsi="宋体" w:eastAsia="宋体" w:cs="宋体"/>
          <w:color w:val="auto"/>
          <w:kern w:val="0"/>
          <w:sz w:val="28"/>
          <w:szCs w:val="28"/>
          <w:lang w:val="en-US" w:eastAsia="zh-CN" w:bidi="ar"/>
        </w:rPr>
      </w:pPr>
    </w:p>
    <w:p>
      <w:pPr>
        <w:pStyle w:val="2"/>
        <w:widowControl/>
        <w:spacing w:before="0" w:beforeAutospacing="0" w:after="602" w:afterAutospacing="0" w:line="450" w:lineRule="atLeast"/>
        <w:jc w:val="center"/>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赤峰学院经济与管理学院虚拟仿真及线上一流课程建设项目询价采购公告</w:t>
      </w:r>
    </w:p>
    <w:p>
      <w:pPr>
        <w:pStyle w:val="3"/>
        <w:widowControl/>
        <w:shd w:val="clear" w:color="auto" w:fill="FFFFFF"/>
        <w:spacing w:before="0" w:beforeAutospacing="0" w:after="0" w:afterAutospacing="0" w:line="525"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赤峰学院</w:t>
      </w:r>
      <w:r>
        <w:rPr>
          <w:rFonts w:hint="eastAsia" w:ascii="宋体" w:hAnsi="宋体" w:cs="宋体"/>
          <w:color w:val="auto"/>
          <w:kern w:val="0"/>
          <w:sz w:val="28"/>
          <w:szCs w:val="28"/>
          <w:lang w:val="en-US" w:eastAsia="zh-CN" w:bidi="ar"/>
        </w:rPr>
        <w:t>经济与管理学院</w:t>
      </w:r>
      <w:r>
        <w:rPr>
          <w:rFonts w:hint="eastAsia" w:ascii="宋体" w:hAnsi="宋体" w:eastAsia="宋体" w:cs="宋体"/>
          <w:color w:val="auto"/>
          <w:kern w:val="0"/>
          <w:sz w:val="28"/>
          <w:szCs w:val="28"/>
          <w:lang w:val="en-US" w:eastAsia="zh-CN" w:bidi="ar"/>
        </w:rPr>
        <w:t>（项目单位名称）采用询价方式采购虚拟仿真及线上一流课程建设项目,欢迎符合资格条件的供应商前来报名参加。</w:t>
      </w:r>
    </w:p>
    <w:p>
      <w:pPr>
        <w:pStyle w:val="3"/>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一、项目基本情况</w:t>
      </w:r>
    </w:p>
    <w:p>
      <w:pPr>
        <w:pStyle w:val="3"/>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项目名称：经济与管理学院虚拟仿真及线上一流课程建设项目</w:t>
      </w:r>
    </w:p>
    <w:p>
      <w:pPr>
        <w:ind w:firstLine="600" w:firstLineChars="200"/>
        <w:rPr>
          <w:rFonts w:hint="eastAsia" w:ascii="宋体" w:hAnsi="宋体" w:eastAsia="宋体" w:cs="宋体"/>
          <w:color w:val="auto"/>
          <w:kern w:val="0"/>
          <w:sz w:val="28"/>
          <w:szCs w:val="28"/>
          <w:lang w:val="en-US" w:eastAsia="zh-CN" w:bidi="ar"/>
        </w:rPr>
      </w:pPr>
      <w:r>
        <w:rPr>
          <w:rFonts w:hint="eastAsia" w:ascii="宋体" w:hAnsi="宋体" w:eastAsia="宋体" w:cs="宋体"/>
          <w:color w:val="auto"/>
          <w:sz w:val="30"/>
          <w:szCs w:val="30"/>
          <w:highlight w:val="none"/>
          <w:lang w:val="en-US" w:eastAsia="zh-CN"/>
        </w:rPr>
        <w:t>项目编号：</w:t>
      </w:r>
      <w:r>
        <w:rPr>
          <w:rFonts w:hint="eastAsia" w:ascii="宋体" w:hAnsi="宋体" w:cs="宋体"/>
          <w:color w:val="auto"/>
          <w:sz w:val="30"/>
          <w:szCs w:val="30"/>
          <w:highlight w:val="none"/>
          <w:lang w:val="en-US" w:eastAsia="zh-CN"/>
        </w:rPr>
        <w:t>JJYGLXY2025</w:t>
      </w:r>
    </w:p>
    <w:p>
      <w:pPr>
        <w:pStyle w:val="3"/>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预算金额：</w:t>
      </w:r>
      <w:r>
        <w:rPr>
          <w:rFonts w:hint="eastAsia" w:ascii="宋体" w:hAnsi="宋体" w:cs="宋体"/>
          <w:color w:val="auto"/>
          <w:kern w:val="0"/>
          <w:sz w:val="28"/>
          <w:szCs w:val="28"/>
          <w:lang w:val="en-US" w:eastAsia="zh-CN" w:bidi="ar"/>
        </w:rPr>
        <w:t>130000.00</w:t>
      </w:r>
      <w:r>
        <w:rPr>
          <w:rFonts w:hint="eastAsia" w:ascii="宋体" w:hAnsi="宋体" w:eastAsia="宋体" w:cs="宋体"/>
          <w:color w:val="auto"/>
          <w:kern w:val="0"/>
          <w:sz w:val="28"/>
          <w:szCs w:val="28"/>
          <w:lang w:val="en-US" w:eastAsia="zh-CN" w:bidi="ar"/>
        </w:rPr>
        <w:t>元（人民币）</w:t>
      </w:r>
    </w:p>
    <w:p>
      <w:pPr>
        <w:pStyle w:val="3"/>
        <w:widowControl/>
        <w:spacing w:before="0" w:beforeAutospacing="0" w:after="0" w:afterAutospacing="0" w:line="540" w:lineRule="atLeast"/>
        <w:ind w:firstLine="555"/>
        <w:rPr>
          <w:rFonts w:hint="eastAsia" w:ascii="宋体" w:hAnsi="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采购需求：</w:t>
      </w:r>
      <w:r>
        <w:rPr>
          <w:rFonts w:hint="eastAsia" w:ascii="宋体" w:hAnsi="宋体" w:cs="宋体"/>
          <w:color w:val="auto"/>
          <w:kern w:val="0"/>
          <w:sz w:val="28"/>
          <w:szCs w:val="28"/>
          <w:lang w:val="en-US" w:eastAsia="zh-CN" w:bidi="ar"/>
        </w:rPr>
        <w:t>虚拟仿真建设</w:t>
      </w:r>
      <w:r>
        <w:rPr>
          <w:rFonts w:hint="eastAsia" w:ascii="宋体" w:hAnsi="宋体" w:eastAsia="宋体" w:cs="宋体"/>
          <w:color w:val="auto"/>
          <w:kern w:val="0"/>
          <w:sz w:val="28"/>
          <w:szCs w:val="28"/>
          <w:lang w:val="en-US" w:eastAsia="zh-CN" w:bidi="ar"/>
        </w:rPr>
        <w:t>、</w:t>
      </w:r>
      <w:r>
        <w:rPr>
          <w:rFonts w:hint="eastAsia" w:ascii="宋体" w:hAnsi="宋体" w:cs="宋体"/>
          <w:color w:val="auto"/>
          <w:kern w:val="0"/>
          <w:sz w:val="28"/>
          <w:szCs w:val="28"/>
          <w:lang w:val="en-US" w:eastAsia="zh-CN" w:bidi="ar"/>
        </w:rPr>
        <w:t>线上一流课程建设</w:t>
      </w:r>
      <w:r>
        <w:rPr>
          <w:rFonts w:hint="eastAsia" w:ascii="宋体" w:hAnsi="宋体" w:eastAsia="宋体" w:cs="宋体"/>
          <w:color w:val="auto"/>
          <w:kern w:val="0"/>
          <w:sz w:val="28"/>
          <w:szCs w:val="28"/>
          <w:lang w:val="en-US" w:eastAsia="zh-CN" w:bidi="ar"/>
        </w:rPr>
        <w:t>，具体技术参数要求详见下列清单</w:t>
      </w:r>
      <w:r>
        <w:rPr>
          <w:rFonts w:hint="eastAsia" w:ascii="宋体" w:hAnsi="宋体" w:cs="宋体"/>
          <w:color w:val="auto"/>
          <w:kern w:val="0"/>
          <w:sz w:val="28"/>
          <w:szCs w:val="28"/>
          <w:lang w:val="en-US" w:eastAsia="zh-CN" w:bidi="ar"/>
        </w:rPr>
        <w:t>。</w:t>
      </w:r>
    </w:p>
    <w:tbl>
      <w:tblPr>
        <w:tblStyle w:val="5"/>
        <w:tblW w:w="86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
        <w:gridCol w:w="454"/>
        <w:gridCol w:w="879"/>
        <w:gridCol w:w="4636"/>
        <w:gridCol w:w="1065"/>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dxa"/>
          </w:tcPr>
          <w:p>
            <w:pP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序号</w:t>
            </w:r>
          </w:p>
        </w:tc>
        <w:tc>
          <w:tcPr>
            <w:tcW w:w="454" w:type="dxa"/>
          </w:tcPr>
          <w:p>
            <w:pP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项目</w:t>
            </w:r>
          </w:p>
        </w:tc>
        <w:tc>
          <w:tcPr>
            <w:tcW w:w="879" w:type="dxa"/>
          </w:tcPr>
          <w:p>
            <w:pP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建设内容</w:t>
            </w:r>
          </w:p>
        </w:tc>
        <w:tc>
          <w:tcPr>
            <w:tcW w:w="4636" w:type="dxa"/>
          </w:tcPr>
          <w:p>
            <w:pP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技术参数</w:t>
            </w:r>
          </w:p>
        </w:tc>
        <w:tc>
          <w:tcPr>
            <w:tcW w:w="1065" w:type="dxa"/>
          </w:tcPr>
          <w:p>
            <w:pP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数量</w:t>
            </w:r>
          </w:p>
        </w:tc>
        <w:tc>
          <w:tcPr>
            <w:tcW w:w="1200" w:type="dxa"/>
          </w:tcPr>
          <w:p>
            <w:pP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dxa"/>
            <w:vMerge w:val="restart"/>
          </w:tcPr>
          <w:p>
            <w:pP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1</w:t>
            </w:r>
          </w:p>
        </w:tc>
        <w:tc>
          <w:tcPr>
            <w:tcW w:w="454" w:type="dxa"/>
            <w:vMerge w:val="restart"/>
          </w:tcPr>
          <w:p>
            <w:pPr>
              <w:rPr>
                <w:rFonts w:hint="eastAsia" w:ascii="仿宋" w:hAnsi="仿宋" w:eastAsia="仿宋" w:cs="仿宋"/>
                <w:color w:val="auto"/>
                <w:sz w:val="24"/>
                <w:szCs w:val="24"/>
                <w:vertAlign w:val="baseline"/>
              </w:rPr>
            </w:pPr>
            <w:r>
              <w:rPr>
                <w:rFonts w:hint="eastAsia" w:ascii="仿宋" w:hAnsi="仿宋" w:eastAsia="仿宋" w:cs="仿宋"/>
                <w:color w:val="auto"/>
                <w:sz w:val="24"/>
                <w:szCs w:val="24"/>
                <w:vertAlign w:val="baseline"/>
                <w:lang w:val="en-US" w:eastAsia="zh-CN"/>
              </w:rPr>
              <w:t>虚拟仿真课程建设</w:t>
            </w:r>
          </w:p>
        </w:tc>
        <w:tc>
          <w:tcPr>
            <w:tcW w:w="879" w:type="dxa"/>
          </w:tcPr>
          <w:p>
            <w:pP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虚拟仿真操作系统</w:t>
            </w:r>
          </w:p>
        </w:tc>
        <w:tc>
          <w:tcPr>
            <w:tcW w:w="4636" w:type="dxa"/>
          </w:tcPr>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（1）要求系统采用B/S架构设计，系统架构要求具备开放性，提供完整规范的开发接口，能够满足主流平台和跨平台快速应用开发的需求，并可与实验空间网站完成数据对接。</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（2）要求系统通过主流的、先进的三维仿真技术进行研发，包括建立真实三维模型和功能需求开发，并可与指定的平台完成实验资源的数据对接等。</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（3）要求系统可以直接发布WebGL网页版本，不用安装任何插件，通过主流浏览器直接进入实验系统完成实验操作，满足在线操作实验系统的要求。</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（4）要求系统可以直接发布PC云渲染版本，不用安装任何插件，通过主流浏览器直接进入实验系统完成实验操作，满足在线操作实验系统的要求。</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（5）要求实验内容可集成到指定的在线运行开发的共享平台，可设置访问权限，并可对实验项目资源进行统一管理。</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（6）提供课程运行共享平台，包括学生及教师账号的单点登录、课程理论学习、实验安排、实验操作、实验报告填写与提交、实验批改、实验成绩管理、课程学习情况统计、优秀实验案例展示等。</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（7）提供专属的课程展示页，包含可视化的累计课程运行数据和实时运行数据、课程介绍、师资介绍、实验操作指南、实验记录、学习记录等。</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（8）学生能够通过互联网在线开放共享平台完成整个实验流程，以及协助教师完成实验课程相关的教学工作，协助校方的虚拟仿真课程实现校内外的线上运行管理、课程资源整合。</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（9）实验报告功能，教师可评选优秀实验报告，并展示给所有学生查看学习，促进学生间的学习交流。</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（10）课程平台需要具有一定量级的其他高校同类专业的流量资源，便于课程开放共享运行阶段积累运行数据。</w:t>
            </w:r>
          </w:p>
          <w:p>
            <w:pPr>
              <w:pStyle w:val="3"/>
              <w:widowControl/>
              <w:spacing w:before="0" w:beforeAutospacing="0" w:after="0" w:afterAutospacing="0" w:line="240" w:lineRule="auto"/>
              <w:rPr>
                <w:rFonts w:hint="eastAsia" w:ascii="仿宋" w:hAnsi="仿宋" w:eastAsia="仿宋" w:cs="仿宋"/>
                <w:color w:val="auto"/>
                <w:sz w:val="24"/>
                <w:szCs w:val="24"/>
                <w:vertAlign w:val="baseline"/>
              </w:rPr>
            </w:pPr>
            <w:r>
              <w:rPr>
                <w:rFonts w:hint="eastAsia" w:ascii="仿宋" w:hAnsi="仿宋" w:eastAsia="仿宋" w:cs="仿宋"/>
                <w:color w:val="auto"/>
                <w:kern w:val="0"/>
                <w:sz w:val="24"/>
                <w:szCs w:val="24"/>
                <w:lang w:val="en-US" w:eastAsia="zh-CN" w:bidi="ar"/>
              </w:rPr>
              <w:t>（11）要求开发的虚拟仿真系统可与校方指定的在线视频课程有机结合，形成理论认知与实际操作相结合的课程内容，提高课程教学和学生的学习效果。</w:t>
            </w:r>
          </w:p>
        </w:tc>
        <w:tc>
          <w:tcPr>
            <w:tcW w:w="1065" w:type="dxa"/>
          </w:tcPr>
          <w:p>
            <w:pP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1套</w:t>
            </w:r>
          </w:p>
        </w:tc>
        <w:tc>
          <w:tcPr>
            <w:tcW w:w="1200" w:type="dxa"/>
          </w:tcPr>
          <w:p>
            <w:pP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16000.00元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dxa"/>
            <w:vMerge w:val="continue"/>
          </w:tcPr>
          <w:p>
            <w:pPr>
              <w:rPr>
                <w:rFonts w:hint="eastAsia" w:ascii="仿宋" w:hAnsi="仿宋" w:eastAsia="仿宋" w:cs="仿宋"/>
                <w:color w:val="auto"/>
                <w:sz w:val="24"/>
                <w:szCs w:val="24"/>
                <w:vertAlign w:val="baseline"/>
              </w:rPr>
            </w:pPr>
          </w:p>
        </w:tc>
        <w:tc>
          <w:tcPr>
            <w:tcW w:w="454" w:type="dxa"/>
            <w:vMerge w:val="continue"/>
          </w:tcPr>
          <w:p>
            <w:pPr>
              <w:rPr>
                <w:rFonts w:hint="eastAsia" w:ascii="仿宋" w:hAnsi="仿宋" w:eastAsia="仿宋" w:cs="仿宋"/>
                <w:color w:val="auto"/>
                <w:sz w:val="24"/>
                <w:szCs w:val="24"/>
                <w:vertAlign w:val="baseline"/>
              </w:rPr>
            </w:pPr>
          </w:p>
        </w:tc>
        <w:tc>
          <w:tcPr>
            <w:tcW w:w="879" w:type="dxa"/>
          </w:tcPr>
          <w:p>
            <w:pPr>
              <w:rPr>
                <w:rFonts w:hint="eastAsia" w:ascii="仿宋" w:hAnsi="仿宋" w:eastAsia="仿宋" w:cs="仿宋"/>
                <w:color w:val="auto"/>
                <w:sz w:val="24"/>
                <w:szCs w:val="24"/>
                <w:vertAlign w:val="baseline"/>
              </w:rPr>
            </w:pPr>
            <w:r>
              <w:rPr>
                <w:rFonts w:hint="eastAsia" w:ascii="仿宋" w:hAnsi="仿宋" w:eastAsia="仿宋" w:cs="仿宋"/>
                <w:color w:val="auto"/>
                <w:sz w:val="24"/>
                <w:szCs w:val="24"/>
                <w:vertAlign w:val="baseline"/>
              </w:rPr>
              <w:t>虚拟仿真实验课程共享平台</w:t>
            </w:r>
          </w:p>
        </w:tc>
        <w:tc>
          <w:tcPr>
            <w:tcW w:w="4636" w:type="dxa"/>
          </w:tcPr>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1.要求提供虚拟仿真课程上线运行共享平台，以满足课程共享推广应用，功能要求如下：</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(1)★要求平台依托云服务，可直接浏览器访问，方便快捷，安全，稳定，快速，智能，拓展性强。</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(2)★要求虚拟仿真课程内容都有独立的课程页，并可根据老师在后台设置的内容，主要包括：项目介绍、师资介绍、实验指南、实验资源、考核要求、学习记录、数据分析等。</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(3)★要求附带虚仿课程资源库，方便校内学生随时加入学习更多感兴趣虚仿课程，且资源库随时添加更新资源，不限制虚仿资源门数。</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(4)★为保障网络安全，平台需要满足三级信息安全等级保护资质要求。</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(5)要求平台接口按照国家虚拟仿真实验教学课程技术接口规范（2020版）规范开发并能够支持课程评审期间与实验空间进行数据对接。</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(6)要求平台具有一定量的在线视频课程资源，方便后续虚仿资源与指定在线课程平台完成在线视频课程结合功能，深度融合在线视频课程和虚仿资源课程。</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2.教师端功能要求</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(1)要求具有学生管理功能，支持按期次（批次）维护学生，优先设置期次，确认期次结束时间。进入对应期次后，可以直接按班级导入学生。同时可以配置每个班级的负责教师。</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(2)★要求具有学习记录管理功能，学生练习情况，按照班级列出平时训练情况汇总。全部训练日志，按时间排显示学生的训练日志流水，支持筛选实验、用户、状态，支持查看实验报告，若需要批阅，可直接在报告中批阅实验成绩。</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(3)要求具有课程资料功能，教师可以上传课程资料，维护课程相关的文件，并可设置相关开放权限。</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(4)★要求具有批阅实验报告功能，平台支持不同批阅形式的实验报告，包括教师批阅、自动成绩以及自动成绩+教师批阅。</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(5)要求教师可以设置课程助教以及班级老师角色，并可对于角色权限进行控制。</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(6)要求支持新建实验功能,可进行基本信息、实验资源、实验设置，其中基本信息内容包括实验标题、实验描述内容；实验资源支持进行我的虚仿实验添加、虚仿资源库添加、虚仿实验链接添加、线下实验任务添加；实验设置支持关联学习资源，选择是否允许重复实验、允许迟交、选择实验班级及运行时间。</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3.学生端功能要求</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(1)学生端展示学生的所有虚仿实验课列表，学生具有个人学堂中心可以看到所学课程。</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(2)要求具有课程学习功能，显示出允许学生自行训练的全部实验资源，点击后可以进入对应的资源进行练习，系统会自动记录练习次数，还可看到自己的实验练习记录，列出该学生的实验训练流水，记录每次实验的结果，包含实验起止时间、实验成绩，若该实验有报告，还可以点击查看具体的实验报告，并且在实验报告内可设置该份报告申请教师批阅</w:t>
            </w:r>
          </w:p>
          <w:p>
            <w:pPr>
              <w:pStyle w:val="3"/>
              <w:widowControl/>
              <w:spacing w:before="0" w:beforeAutospacing="0" w:after="0" w:afterAutospacing="0" w:line="240" w:lineRule="auto"/>
              <w:rPr>
                <w:rFonts w:hint="eastAsia" w:ascii="仿宋" w:hAnsi="仿宋" w:eastAsia="仿宋" w:cs="仿宋"/>
                <w:color w:val="auto"/>
                <w:sz w:val="24"/>
                <w:szCs w:val="24"/>
                <w:vertAlign w:val="baseline"/>
              </w:rPr>
            </w:pPr>
            <w:r>
              <w:rPr>
                <w:rFonts w:hint="eastAsia" w:ascii="仿宋" w:hAnsi="仿宋" w:eastAsia="仿宋" w:cs="仿宋"/>
                <w:color w:val="auto"/>
                <w:kern w:val="0"/>
                <w:sz w:val="24"/>
                <w:szCs w:val="24"/>
                <w:lang w:val="en-US" w:eastAsia="zh-CN" w:bidi="ar"/>
              </w:rPr>
              <w:t>(3)要求具有问答论坛功能，可以看到该实验下的所有问答讨论，并可以进行提问、围观、回答等多种操作，和老师以及同学进行在线交流。</w:t>
            </w:r>
          </w:p>
        </w:tc>
        <w:tc>
          <w:tcPr>
            <w:tcW w:w="1065" w:type="dxa"/>
          </w:tcPr>
          <w:p>
            <w:pP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1套</w:t>
            </w:r>
          </w:p>
        </w:tc>
        <w:tc>
          <w:tcPr>
            <w:tcW w:w="1200" w:type="dxa"/>
          </w:tcPr>
          <w:p>
            <w:pP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5000.00元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dxa"/>
            <w:vMerge w:val="continue"/>
          </w:tcPr>
          <w:p>
            <w:pPr>
              <w:rPr>
                <w:rFonts w:hint="eastAsia" w:ascii="仿宋" w:hAnsi="仿宋" w:eastAsia="仿宋" w:cs="仿宋"/>
                <w:color w:val="auto"/>
                <w:sz w:val="24"/>
                <w:szCs w:val="24"/>
                <w:vertAlign w:val="baseline"/>
              </w:rPr>
            </w:pPr>
          </w:p>
        </w:tc>
        <w:tc>
          <w:tcPr>
            <w:tcW w:w="454" w:type="dxa"/>
            <w:vMerge w:val="continue"/>
          </w:tcPr>
          <w:p>
            <w:pPr>
              <w:rPr>
                <w:rFonts w:hint="eastAsia" w:ascii="仿宋" w:hAnsi="仿宋" w:eastAsia="仿宋" w:cs="仿宋"/>
                <w:color w:val="auto"/>
                <w:sz w:val="24"/>
                <w:szCs w:val="24"/>
                <w:vertAlign w:val="baseline"/>
              </w:rPr>
            </w:pPr>
          </w:p>
        </w:tc>
        <w:tc>
          <w:tcPr>
            <w:tcW w:w="879" w:type="dxa"/>
          </w:tcPr>
          <w:p>
            <w:pP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三维模型建设</w:t>
            </w:r>
          </w:p>
        </w:tc>
        <w:tc>
          <w:tcPr>
            <w:tcW w:w="4636" w:type="dxa"/>
          </w:tcPr>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1.模型精度要求</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（1）高精度建模：场景建模需符合真实尺寸（毫米级误差），拓扑结构合理，避免破面或重叠。</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（2） LOD（Level of Detail）分级：根据距离动态切换模型精度（如远距离显示简化模型，近距离展示高模）。</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2.角色建模要求</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（1）高精度几何模型：根据仿真场景的复杂度，角色需要具备解剖学或功能结构的准确性（例如关节活动范围、肌肉变形）。</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（2）材质与贴图：皮肤、服装、装备的物理材质需模拟真实光照下的反射、透射（如次表面散射）、磨损效果。</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（3）物理属性：碰撞体、重量分布、软体模拟（如布料、毛发动力学）需符合物理规律，避免穿模或不自然运动。</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3.模型规范要求</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（1）文件格式：通用格式（FBX、OBJ、GLTF）优先，支持跨平台引擎（Unity、Unreal）。</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（2）命名规则：层级结构清晰（如“设备_部件_编号”），材质球与贴图命名一致。</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（3）UV展开：避免拉伸，贴图利用率需达80%以上，支持2K/4K贴图分辨率。</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4.材质与贴图要求</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（1） PBR材质：金属度（Metallic）、粗糙度（Roughness）等参数需符合物理规律，支持HDR环光反射。</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（2）动态贴图：如屏幕空间反射（SSR）、视差贴图（Parallax Mapping）增强真实感。</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（3）透明材质优化：Alpha通道处理需兼容不同渲染管线（如Forward/Deferred Rendering）。</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5.模型优化要求</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（1）合并网格：减少Draw Call（如静态物体合并为单一Mesh）。</w:t>
            </w:r>
          </w:p>
          <w:p>
            <w:pPr>
              <w:pStyle w:val="3"/>
              <w:widowControl/>
              <w:spacing w:before="0" w:beforeAutospacing="0" w:after="0" w:afterAutospacing="0" w:line="240" w:lineRule="auto"/>
              <w:rPr>
                <w:rFonts w:hint="eastAsia" w:ascii="仿宋" w:hAnsi="仿宋" w:eastAsia="仿宋" w:cs="仿宋"/>
                <w:color w:val="auto"/>
                <w:sz w:val="24"/>
                <w:szCs w:val="24"/>
                <w:vertAlign w:val="baseline"/>
              </w:rPr>
            </w:pPr>
            <w:r>
              <w:rPr>
                <w:rFonts w:hint="eastAsia" w:ascii="仿宋" w:hAnsi="仿宋" w:eastAsia="仿宋" w:cs="仿宋"/>
                <w:color w:val="auto"/>
                <w:kern w:val="0"/>
                <w:sz w:val="24"/>
                <w:szCs w:val="24"/>
                <w:lang w:val="en-US" w:eastAsia="zh-CN" w:bidi="ar"/>
              </w:rPr>
              <w:t>（2）碰撞体简化：使用Box/Sphere碰撞体替代复杂Mesh Collider，提升物理计算效率。</w:t>
            </w:r>
          </w:p>
        </w:tc>
        <w:tc>
          <w:tcPr>
            <w:tcW w:w="1065" w:type="dxa"/>
          </w:tcPr>
          <w:p>
            <w:pP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2个</w:t>
            </w:r>
          </w:p>
        </w:tc>
        <w:tc>
          <w:tcPr>
            <w:tcW w:w="1200" w:type="dxa"/>
          </w:tcPr>
          <w:p>
            <w:pP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8000.00元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dxa"/>
            <w:vMerge w:val="continue"/>
          </w:tcPr>
          <w:p>
            <w:pPr>
              <w:rPr>
                <w:rFonts w:hint="eastAsia" w:ascii="仿宋" w:hAnsi="仿宋" w:eastAsia="仿宋" w:cs="仿宋"/>
                <w:color w:val="auto"/>
                <w:sz w:val="24"/>
                <w:szCs w:val="24"/>
                <w:vertAlign w:val="baseline"/>
              </w:rPr>
            </w:pPr>
          </w:p>
        </w:tc>
        <w:tc>
          <w:tcPr>
            <w:tcW w:w="454" w:type="dxa"/>
            <w:vMerge w:val="continue"/>
          </w:tcPr>
          <w:p>
            <w:pPr>
              <w:rPr>
                <w:rFonts w:hint="eastAsia" w:ascii="仿宋" w:hAnsi="仿宋" w:eastAsia="仿宋" w:cs="仿宋"/>
                <w:color w:val="auto"/>
                <w:sz w:val="24"/>
                <w:szCs w:val="24"/>
                <w:vertAlign w:val="baseline"/>
              </w:rPr>
            </w:pPr>
          </w:p>
        </w:tc>
        <w:tc>
          <w:tcPr>
            <w:tcW w:w="879" w:type="dxa"/>
          </w:tcPr>
          <w:p>
            <w:pP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rPr>
              <w:t>程序交互</w:t>
            </w:r>
            <w:r>
              <w:rPr>
                <w:rFonts w:hint="eastAsia" w:ascii="仿宋" w:hAnsi="仿宋" w:eastAsia="仿宋" w:cs="仿宋"/>
                <w:color w:val="auto"/>
                <w:sz w:val="24"/>
                <w:szCs w:val="24"/>
                <w:vertAlign w:val="baseline"/>
                <w:lang w:val="en-US" w:eastAsia="zh-CN"/>
              </w:rPr>
              <w:t>设计</w:t>
            </w:r>
          </w:p>
        </w:tc>
        <w:tc>
          <w:tcPr>
            <w:tcW w:w="4636" w:type="dxa"/>
          </w:tcPr>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（1）交互准确性与稳定性要求：系统交互触发成功率需 ≥99%（通过重复测试100次以上验证），碰撞检测误判率 ≤0.5%；支持物理交互稳定响应，误触发率极低。</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（2）自由动态探索功能：用户可通过触控或鼠标操作对3D模型进行自由旋转、缩放、平移等操作，深入探索模型结构细节，交互响应流畅无卡顿。</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（3）大模型加载与传输优化：支持对大体量模型的切片加载、异步加载、LOD（Level of Detail）技术优化；后台传输采用分片上传、断点续传与压缩传输机制，提高文件传输效率与稳定性。</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（4）支持H5页面嵌入与自定义交互：可将3D交互模块封装为 WebGL 模块嵌入 H5 页面，支持轻量化加载、点击互动、浮层展示等功能，提升宣传效率与用户互动体验。</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（5）界面动画与交互反馈：</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操作过程需提供适当的视觉反馈，如按钮点击动效、加载进度条、选中高亮等，提升用户操作感知；</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支持过渡动画、模型高亮提示、场景引导等交互演示功能。</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（6）性能优化与帧率控制：</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在WebGL端保证在主流设备下帧率 ≥30FPS，PC端帧率 ≥60FPS；</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优化Draw Call数量与资源占用，减少CPU/GPU负担，提升整体运行流畅度。</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（7）网络连接与资源调度机制：</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支持断线重连、资源预加载、缓存机制等，提高资源访问效率；</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支持CDN加速与静态资源分发。</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（8）后端数据接口支持与模块扩展：</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支持通过RESTful API进行模型数据、交互逻辑、用户信息等数据通信；</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模块化开发，便于后续功能扩展与维护。</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（9）数据安全与权限控制：</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支持HTTPS传输协议，保障用户数据安全；</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支持用户权限分级管理，不同角色访问不同交互内容。</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（10）系统兼容性与浏览器支持要求：</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WebGL 应兼容 Chrome、Edge、Firefox 等常见浏览器；</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不依赖特定插件（如Flash），避免兼容性问题。</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（11）系统稳定性与崩溃保护：</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程序应具备良好的异常处理机制，避免因模型加载失败、网络错误等导致程序崩溃；</w:t>
            </w:r>
          </w:p>
          <w:p>
            <w:pPr>
              <w:pStyle w:val="3"/>
              <w:widowControl/>
              <w:spacing w:before="0" w:beforeAutospacing="0" w:after="0" w:afterAutospacing="0" w:line="240" w:lineRule="auto"/>
              <w:rPr>
                <w:rFonts w:hint="eastAsia" w:ascii="仿宋" w:hAnsi="仿宋" w:eastAsia="仿宋" w:cs="仿宋"/>
                <w:color w:val="auto"/>
                <w:sz w:val="24"/>
                <w:szCs w:val="24"/>
                <w:vertAlign w:val="baseline"/>
              </w:rPr>
            </w:pPr>
            <w:r>
              <w:rPr>
                <w:rFonts w:hint="eastAsia" w:ascii="仿宋" w:hAnsi="仿宋" w:eastAsia="仿宋" w:cs="仿宋"/>
                <w:color w:val="auto"/>
                <w:kern w:val="0"/>
                <w:sz w:val="24"/>
                <w:szCs w:val="24"/>
                <w:lang w:val="en-US" w:eastAsia="zh-CN" w:bidi="ar"/>
              </w:rPr>
              <w:t>支持错误提示反馈、日志记录、Bug追踪等系统维护功能。</w:t>
            </w:r>
          </w:p>
        </w:tc>
        <w:tc>
          <w:tcPr>
            <w:tcW w:w="1065" w:type="dxa"/>
          </w:tcPr>
          <w:p>
            <w:pP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10套</w:t>
            </w:r>
          </w:p>
        </w:tc>
        <w:tc>
          <w:tcPr>
            <w:tcW w:w="1200" w:type="dxa"/>
          </w:tcPr>
          <w:p>
            <w:pP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20000.00元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dxa"/>
            <w:vMerge w:val="continue"/>
          </w:tcPr>
          <w:p>
            <w:pPr>
              <w:rPr>
                <w:rFonts w:hint="eastAsia" w:ascii="仿宋" w:hAnsi="仿宋" w:eastAsia="仿宋" w:cs="仿宋"/>
                <w:color w:val="auto"/>
                <w:sz w:val="24"/>
                <w:szCs w:val="24"/>
                <w:vertAlign w:val="baseline"/>
              </w:rPr>
            </w:pPr>
          </w:p>
        </w:tc>
        <w:tc>
          <w:tcPr>
            <w:tcW w:w="454" w:type="dxa"/>
            <w:vMerge w:val="continue"/>
          </w:tcPr>
          <w:p>
            <w:pPr>
              <w:rPr>
                <w:rFonts w:hint="eastAsia" w:ascii="仿宋" w:hAnsi="仿宋" w:eastAsia="仿宋" w:cs="仿宋"/>
                <w:color w:val="auto"/>
                <w:sz w:val="24"/>
                <w:szCs w:val="24"/>
                <w:vertAlign w:val="baseline"/>
              </w:rPr>
            </w:pPr>
          </w:p>
        </w:tc>
        <w:tc>
          <w:tcPr>
            <w:tcW w:w="879" w:type="dxa"/>
          </w:tcPr>
          <w:p>
            <w:pPr>
              <w:rPr>
                <w:rFonts w:hint="eastAsia" w:ascii="仿宋" w:hAnsi="仿宋" w:eastAsia="仿宋" w:cs="仿宋"/>
                <w:color w:val="auto"/>
                <w:sz w:val="24"/>
                <w:szCs w:val="24"/>
                <w:vertAlign w:val="baseline"/>
              </w:rPr>
            </w:pPr>
            <w:r>
              <w:rPr>
                <w:rFonts w:hint="eastAsia" w:ascii="仿宋" w:hAnsi="仿宋" w:eastAsia="仿宋" w:cs="仿宋"/>
                <w:color w:val="auto"/>
                <w:sz w:val="24"/>
                <w:szCs w:val="24"/>
                <w:vertAlign w:val="baseline"/>
              </w:rPr>
              <w:t>界面设计</w:t>
            </w:r>
          </w:p>
        </w:tc>
        <w:tc>
          <w:tcPr>
            <w:tcW w:w="4636" w:type="dxa"/>
          </w:tcPr>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（1）界面字体与排版规范化：</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字体清晰可读，统一采用微软雅黑或思源黑体等无衬线字体；</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字体大小区分明确（如标题 24px，正文 16px，辅助文字 12px），行高通常为 1.5 倍；</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对齐方式为左对齐，避免中英文混排错位，符合用户阅读习惯；</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界面文本支持多语言扩展。</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（2）图标与图形视觉设计统一：</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图标风格保持扁平化或拟物风统一设计语言，色彩风格一致；</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图标尺寸应满足清晰度要求（如32px以上），间距保持合理（一般不小于8px）；</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支持SVG图标适配高分辨率设备，避免图标模糊或变形。</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（3）响应式与适配性设计：</w:t>
            </w:r>
          </w:p>
          <w:p>
            <w:pPr>
              <w:pStyle w:val="3"/>
              <w:widowControl/>
              <w:spacing w:before="0" w:beforeAutospacing="0" w:after="0" w:afterAutospacing="0" w:line="240" w:lineRule="auto"/>
              <w:rPr>
                <w:rFonts w:hint="eastAsia" w:ascii="仿宋" w:hAnsi="仿宋" w:eastAsia="仿宋" w:cs="仿宋"/>
                <w:color w:val="auto"/>
                <w:sz w:val="24"/>
                <w:szCs w:val="24"/>
                <w:vertAlign w:val="baseline"/>
              </w:rPr>
            </w:pPr>
            <w:r>
              <w:rPr>
                <w:rFonts w:hint="eastAsia" w:ascii="仿宋" w:hAnsi="仿宋" w:eastAsia="仿宋" w:cs="仿宋"/>
                <w:color w:val="auto"/>
                <w:kern w:val="0"/>
                <w:sz w:val="24"/>
                <w:szCs w:val="24"/>
                <w:lang w:val="en-US" w:eastAsia="zh-CN" w:bidi="ar"/>
              </w:rPr>
              <w:t>UI 布局采用响应式技术，自动适配不同设备与浏览器窗口尺寸；</w:t>
            </w:r>
          </w:p>
        </w:tc>
        <w:tc>
          <w:tcPr>
            <w:tcW w:w="1065" w:type="dxa"/>
          </w:tcPr>
          <w:p>
            <w:pP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1套</w:t>
            </w:r>
          </w:p>
        </w:tc>
        <w:tc>
          <w:tcPr>
            <w:tcW w:w="1200" w:type="dxa"/>
          </w:tcPr>
          <w:p>
            <w:pP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5000.00元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dxa"/>
            <w:vMerge w:val="continue"/>
          </w:tcPr>
          <w:p>
            <w:pPr>
              <w:rPr>
                <w:rFonts w:hint="eastAsia" w:ascii="仿宋" w:hAnsi="仿宋" w:eastAsia="仿宋" w:cs="仿宋"/>
                <w:color w:val="auto"/>
                <w:sz w:val="24"/>
                <w:szCs w:val="24"/>
                <w:vertAlign w:val="baseline"/>
              </w:rPr>
            </w:pPr>
          </w:p>
        </w:tc>
        <w:tc>
          <w:tcPr>
            <w:tcW w:w="454" w:type="dxa"/>
            <w:vMerge w:val="continue"/>
          </w:tcPr>
          <w:p>
            <w:pPr>
              <w:rPr>
                <w:rFonts w:hint="eastAsia" w:ascii="仿宋" w:hAnsi="仿宋" w:eastAsia="仿宋" w:cs="仿宋"/>
                <w:color w:val="auto"/>
                <w:sz w:val="24"/>
                <w:szCs w:val="24"/>
                <w:vertAlign w:val="baseline"/>
              </w:rPr>
            </w:pPr>
          </w:p>
        </w:tc>
        <w:tc>
          <w:tcPr>
            <w:tcW w:w="879" w:type="dxa"/>
          </w:tcPr>
          <w:p>
            <w:pP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项目定制化建设</w:t>
            </w:r>
          </w:p>
        </w:tc>
        <w:tc>
          <w:tcPr>
            <w:tcW w:w="4636" w:type="dxa"/>
          </w:tcPr>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1.本次虚拟仿真实验需提供多端支持功能，支持web版本虚拟仿真实验和VR版本实验。</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2.要求提供定制化虚拟仿真课程页功能，支持UI界面定制化开发、AI助教形象定制化。</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3.要求虚拟仿真课程内容都有独立的课程页，并可根据老师在后台设置的内容，展示实验对应的基本信息，主要包括：项目介绍、师资介绍、实验指南、实验资源、考核要求、学习记录、数据分析等。（提供功能截图并加盖公章进行佐证）</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4.★要求平台具有 20000 门以上在线视频课程资源，方便后续虚仿资源与指定在线视频课程结合，即可通过虚拟仿真项目免登录跳转到对应的共享课中，也可从共享课免登录跳转到对应的虚拟仿真项目中，形成理论与实际操作的结合，以此来提高教学效果（提供所投真实产品的功能截图证明材料）。</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5.★系统需提供AI助教功能，可调用 AI 助教进行问题咨询，AI 助教与虚拟仿真系统能进行深度融合，即可在课程页进行AI助教功能使用，也可在虚仿操作过程中进行AI助教功能的使用（提供所投真实产品的功能截图证明材料）。</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6.支持对课程模型进行调优，支持针对课程进行问答流程编排调优，支持采用LangGPT、少样本等技术对大模型进行提示词开发和优化。</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7.★要求平台附带虚仿课程资源，需具备至少 500 门虚拟仿真课程资源，方便校内学生随时加入学习，且需提供 3D 模型资源库，提供有在线预览功能的模型，提供至少 100个模型资源（提供所投真实产品的功能截图证明材料）。</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8.虚拟实验采用全三维建模，具有实验原理和相关知识学习：主要介绍与该实验相关的知识，知识内容包括但不限于图片、文字、视频等内容。</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9.需提供对应的考核内容，针对知识学习内容生成对应的考核题，考核题类型包括但不限于选择题、填空题、连线题等题型，用户完成答题后系统能够直接给出反馈。</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10.虚拟实验软件提供虚拟实验的演示视频，视频时长不少于120S，需提供学习和考核等不同模式，用户可自由切换。在演示视频中，系统通过视频演示操作方法。在学习模式中，通过打开提示，可以根据详细的步骤提示、3D物体上的高亮显示引导对于实验操作步骤进行学习，在引导下完成虚拟实验。在考核模式下，操作者在没有引导提示的情况下独立完成整个实验。</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11.实验报告：系统会自动记录每一步操作并进行打分和计时，并根据赋分规则得出步骤得分情况，最终以实验报告的形式呈现出来，其中赋分规则可根据采购人实际需求进行设置。</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12.要求支持新建实验功能,可进行基本信息、实验资源、实验设置，其中基本信息内容包括实验标题、实验描述内容；实验资源支持进行我的虚仿实验添加、虚仿资源库添加、虚仿实验链接添加、线下实验任务添加；实验设置支持关联学习资源，选择是否允许重复实验、允许迟交、选择实验班级及运行时间。（要求提供真实系统现场演示）</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13.要求具有学习记录管理功能，学生练习情况，按照班级列出平时训练情况汇总。全部训练日志，按时间排显示学生的训练日志流水，支持筛选实验、用户、状态，支持查看实验报告，若需要批阅，可直接在报告中批阅实验成绩。（提供功能截图并加盖公章进行佐证）</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14.验收交付后，提供计算机软件著作权登记证书，软件著作权归属赤峰学院。</w:t>
            </w:r>
          </w:p>
          <w:p>
            <w:pPr>
              <w:rPr>
                <w:rFonts w:hint="eastAsia" w:ascii="仿宋" w:hAnsi="仿宋" w:eastAsia="仿宋" w:cs="仿宋"/>
                <w:color w:val="auto"/>
                <w:sz w:val="24"/>
                <w:szCs w:val="24"/>
                <w:vertAlign w:val="baseline"/>
              </w:rPr>
            </w:pPr>
            <w:r>
              <w:rPr>
                <w:rFonts w:hint="eastAsia" w:ascii="仿宋" w:hAnsi="仿宋" w:eastAsia="仿宋" w:cs="仿宋"/>
                <w:color w:val="auto"/>
                <w:kern w:val="0"/>
                <w:sz w:val="24"/>
                <w:szCs w:val="24"/>
                <w:lang w:val="en-US" w:eastAsia="zh-CN" w:bidi="ar"/>
              </w:rPr>
              <w:t>15.服务期为三年。供应商提供系统三年免费升级、维护以及技术支持。</w:t>
            </w:r>
          </w:p>
        </w:tc>
        <w:tc>
          <w:tcPr>
            <w:tcW w:w="1065" w:type="dxa"/>
          </w:tcPr>
          <w:p>
            <w:pP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1套</w:t>
            </w:r>
          </w:p>
        </w:tc>
        <w:tc>
          <w:tcPr>
            <w:tcW w:w="1200" w:type="dxa"/>
          </w:tcPr>
          <w:p>
            <w:pP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28000.00元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dxa"/>
            <w:vMerge w:val="restart"/>
          </w:tcPr>
          <w:p>
            <w:pP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2</w:t>
            </w:r>
          </w:p>
        </w:tc>
        <w:tc>
          <w:tcPr>
            <w:tcW w:w="454" w:type="dxa"/>
            <w:vMerge w:val="restart"/>
          </w:tcPr>
          <w:p>
            <w:pP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线上一流课程建设</w:t>
            </w:r>
          </w:p>
        </w:tc>
        <w:tc>
          <w:tcPr>
            <w:tcW w:w="879" w:type="dxa"/>
          </w:tcPr>
          <w:p>
            <w:pP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kern w:val="0"/>
                <w:sz w:val="24"/>
                <w:szCs w:val="24"/>
                <w:lang w:val="en-US" w:eastAsia="zh-CN" w:bidi="ar"/>
              </w:rPr>
              <w:t>视频类资源制作（不少于450分钟）</w:t>
            </w:r>
          </w:p>
        </w:tc>
        <w:tc>
          <w:tcPr>
            <w:tcW w:w="4636" w:type="dxa"/>
          </w:tcPr>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1.视频类资源要求</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1.1拍摄模式要求</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根据课程性质，课程顾问团队与教师一起确定课程最合理拍摄方式，提供不少于6种的拍摄模式可供老师选择，如拍摄基地PPT模式、拍摄基地演示模式、拍摄基地访谈模式、真人动画模式等。</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1.2剪辑制作参数要求</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1.2.1视频信号源</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全片图像同步性能稳定，不存在失帧现象，CTL同步控制信号必须连续，图像无抖动跳跃，色彩无突变，编辑点处图像稳定。图像信噪比不低于55dB，无明显杂波。白平衡正确，无明显偏色，多机拍摄的镜头衔接处无明显色差。视频全讯号幅度为1Ⅴp-p，最大不超过1.1Ⅴp-p。其中，消隐电平为0V时，白电平幅度0.7Ⅴp-p，同步信号0.3Vp-p，色同步信号幅度0.3V p-p (以消隐线上下对称)，全片一致。</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1.2.2视频类素材每帧图像颜色数不低于256色或灰度级不低于128级。</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1.2.3视频处理</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视频压缩采用H.264(MPEG-4Part10：profile=main,level=3.0)编码、使用二次编码、不包含字幕的 MP4格式。动态码流的最高码率不高于2500 Kbps，最低码率不得低于1024Kbps。前期采用高清16:9拍摄，设定为 1920×1080。在同一课程中，各讲的视频分辨率统一，统一高清。视频帧率不少于25帧/秒。扫描方式采用逐行扫描。</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1.2.4音频</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音频压缩采用 AAC(MPEG4 Part3)格式。必须是双声道，输出通道为立体声；音频码流率128Kbps (恒定)；音频信噪比不低于48db。音频采样率48KHz，量化位数至少为16位0；音频类型为音乐类、音效声、语音等；电平指标2db-8db，声音应无明显失真、放音过冲、过弱。</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1.2.5声音效果</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声音和画面同步；声音清晰，无杂音，无干扰，无破音和电流音；伴音清晰、饱满、圆润，无失真、无音量忽大忽小现象；解说声与现场声无明显比例失调，解说声与背景音乐无明显比例失调。</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1.2.6剪辑</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剪辑衔接自然，景别丰富、组接流畅、色彩和曝光统一，无跳帧，无跳跃感。</w:t>
            </w:r>
          </w:p>
        </w:tc>
        <w:tc>
          <w:tcPr>
            <w:tcW w:w="1065" w:type="dxa"/>
          </w:tcPr>
          <w:p>
            <w:pP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≥450分钟</w:t>
            </w:r>
          </w:p>
        </w:tc>
        <w:tc>
          <w:tcPr>
            <w:tcW w:w="1200" w:type="dxa"/>
          </w:tcPr>
          <w:p>
            <w:pP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20000.00元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dxa"/>
            <w:vMerge w:val="continue"/>
          </w:tcPr>
          <w:p>
            <w:pPr>
              <w:rPr>
                <w:rFonts w:hint="eastAsia" w:ascii="仿宋" w:hAnsi="仿宋" w:eastAsia="仿宋" w:cs="仿宋"/>
                <w:color w:val="auto"/>
                <w:sz w:val="24"/>
                <w:szCs w:val="24"/>
                <w:vertAlign w:val="baseline"/>
              </w:rPr>
            </w:pPr>
          </w:p>
        </w:tc>
        <w:tc>
          <w:tcPr>
            <w:tcW w:w="454" w:type="dxa"/>
            <w:vMerge w:val="continue"/>
          </w:tcPr>
          <w:p>
            <w:pPr>
              <w:rPr>
                <w:rFonts w:hint="eastAsia" w:ascii="仿宋" w:hAnsi="仿宋" w:eastAsia="仿宋" w:cs="仿宋"/>
                <w:color w:val="auto"/>
                <w:sz w:val="24"/>
                <w:szCs w:val="24"/>
                <w:vertAlign w:val="baseline"/>
              </w:rPr>
            </w:pPr>
          </w:p>
        </w:tc>
        <w:tc>
          <w:tcPr>
            <w:tcW w:w="879" w:type="dxa"/>
          </w:tcPr>
          <w:p>
            <w:pP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视频资源拍摄</w:t>
            </w:r>
          </w:p>
        </w:tc>
        <w:tc>
          <w:tcPr>
            <w:tcW w:w="4636" w:type="dxa"/>
          </w:tcPr>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2.拍摄设备及硬件设备配置要求</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2.1须配备2台以上4K全高清摄像机，多台高清摄像机拍摄设备要同型同款，保证录制效果一致，分辨率达到4096×2160，25fps，配备摇臂、滑轨等设备。</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2.2配备广播级录音设备，电视台级别专业无线麦。</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2.3配备专业影视摄影镝灯，LED 面光灯等灯光设备。</w:t>
            </w:r>
          </w:p>
        </w:tc>
        <w:tc>
          <w:tcPr>
            <w:tcW w:w="1065" w:type="dxa"/>
          </w:tcPr>
          <w:p>
            <w:pP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≥450分钟</w:t>
            </w:r>
          </w:p>
        </w:tc>
        <w:tc>
          <w:tcPr>
            <w:tcW w:w="1200" w:type="dxa"/>
          </w:tcPr>
          <w:p>
            <w:pP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18500.00元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dxa"/>
            <w:vMerge w:val="continue"/>
          </w:tcPr>
          <w:p>
            <w:pPr>
              <w:rPr>
                <w:rFonts w:hint="eastAsia" w:ascii="仿宋" w:hAnsi="仿宋" w:eastAsia="仿宋" w:cs="仿宋"/>
                <w:color w:val="auto"/>
                <w:sz w:val="24"/>
                <w:szCs w:val="24"/>
                <w:vertAlign w:val="baseline"/>
              </w:rPr>
            </w:pPr>
          </w:p>
        </w:tc>
        <w:tc>
          <w:tcPr>
            <w:tcW w:w="454" w:type="dxa"/>
            <w:vMerge w:val="continue"/>
          </w:tcPr>
          <w:p>
            <w:pPr>
              <w:rPr>
                <w:rFonts w:hint="eastAsia" w:ascii="仿宋" w:hAnsi="仿宋" w:eastAsia="仿宋" w:cs="仿宋"/>
                <w:color w:val="auto"/>
                <w:sz w:val="24"/>
                <w:szCs w:val="24"/>
                <w:vertAlign w:val="baseline"/>
              </w:rPr>
            </w:pPr>
          </w:p>
        </w:tc>
        <w:tc>
          <w:tcPr>
            <w:tcW w:w="879" w:type="dxa"/>
          </w:tcPr>
          <w:p>
            <w:pPr>
              <w:rPr>
                <w:rFonts w:hint="eastAsia" w:ascii="仿宋" w:hAnsi="仿宋" w:eastAsia="仿宋" w:cs="仿宋"/>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上线运行及</w:t>
            </w:r>
            <w:r>
              <w:rPr>
                <w:rFonts w:hint="eastAsia" w:ascii="仿宋" w:hAnsi="仿宋" w:eastAsia="仿宋" w:cs="仿宋"/>
                <w:b w:val="0"/>
                <w:bCs w:val="0"/>
                <w:color w:val="auto"/>
                <w:sz w:val="24"/>
                <w:szCs w:val="24"/>
              </w:rPr>
              <w:t>应用推广</w:t>
            </w:r>
          </w:p>
        </w:tc>
        <w:tc>
          <w:tcPr>
            <w:tcW w:w="4636" w:type="dxa"/>
          </w:tcPr>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3.运行平台功能要求</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3.1整体要求</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▲3.1.1运行平台须具备在全国运行推广的服务能力。</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▲3.1.2运行平台支持学习者自由切换选择视频学习模式与课程图谱学习模式</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▲3.1.3平台需具备支持统一发布公告，下发通知或督促学生完成学习进度</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3.1.4需支持个性化门户设计，包括课程、师资、内容的展示，提升课程价值感。</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3.1.5平台必须提供以至少以月度为单位的学情大数据分析报告。</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▲3.1.6发布平台是国家级在线开放课程申报平台之一</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3.2在线课程教学运行模块</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▲3.2.1具备学生、教师、管理者专属的三款App，更具备专属性让移动教、学、管理体验更流畅</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▲3.2.2支持慕课与知识图谱的结合，并可实现全国共享。</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3.3为老师提供各类的线上教学功能和线下课堂的辅助功能</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3.3.1支持“一步建课”，老师在移动端或者电脑网页端只需输入课程名即可建课，老师无须提前准备除课程名称之外的任何课程内容，就可以开始在系统中创建课程，降低老师的使用门槛；</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3.3.2支持老师设置课程基本信息，包括名称、学科、学分、学时、课程介绍、教学目标、教学大纲等；</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每门课程支持专属的课程空间，方便老师进行管理；同时支持老师在PC端和移动端都能管理线上课程；</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3.3.3支持在同一个课程空间管理课程的课前、课中、课后内容，无论是线上教学或线下课堂教学，无须切换至其他平台、软件，或课程空间，同一门课程的教学数据也需支持同一个课程空间中展示；</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3.3.4支持多个老师组成教学团队，协调管理课程；支持助教设置，协助老师管理课程教学；</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3.3.5支持多种学生选课方式，包括通过课程号或者二维码主动选课、老师自主邀请、学生名单统一导入或者教务系统数据同步自动导入选课数据；</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3.3.6课程支持多个教学班，老师可以对教学班进行自主管理，包括调、退课等；</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3.3.7支持老师设置入班人员审核，保证只有选课学生能参与到日常课程教学过程中或者自由开放给任何人参与教学；</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3.3.8支持多种教学资源上传，不限定教学内容必须有视频资源，降低使用门槛，调动参与线上教学的老师的积极性；</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3.3.9支持建课时引用现成的视频课程资源，建设校内在线课程；支持从多门现成的视频课程中，随意组合，建设校内在线课程。</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3.3.10教学内容可支持多种文件类型，包括视频（.mp4，.mov等），图片（.jpg, .png等），课件（.ppt, .pptx等）,文本文件（.txt, .doc, .docx等），数据表格（.xls, .xlsx等），压缩包（.zip, .rar等），音频文件（.mp3等），数据文件（.dat等）；所有文件支持可在线下载；支持上传不超过2G大小的文件；教学内容支持网页链接的形式；</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3.3.11支持在线查看常用类型文件，如视频、音频、图片等，文件格式包含如下格式：.mp4,  .jpg,  .png,  .mp3,  .txt,  .pdf,  .ppt,  .pptx,  .xls,  .xlsx,  .doc,  .docx等；</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3.3.12支持不同的教学内容设置不同的教学目的，包括必学/选学，学习要求等；老师可设置是否允许学生下载，保证老师内容版权；</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3.3.13支持教学内容随建随学，老师可以先上传准备，然后再发布，只有发布后，学生才能查看学习；</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3.3.14支持教师信息化备课，可上传教学设计、课堂互动（投票、头脑风暴）至备课计划并在各项教学活动上添加计时器功能；支持针对主流文档（Word、PPT、PDF等文件）插入课堂工具；支持添加授课中提示讲解的便签工具；备课设计的内容、互动工具支持重复多次使用；支持一键启动备课内容直接开启课堂进入授课状态并且课堂授课过程中可直观查询教学设计等备课内容（提供所投真实产品的功能截图证明材料并加盖供应商公章）</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3.3.15支持任务式教学，老师可以具体安排任务让学生完成；统计学生是否查看任务，以便老师督促；（16）支持师生、生生在任务下互动评论，协作学习；</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3.3.16支持线上作业功能，老师可以通过电脑端或者移动端在线上布置作业、督促提交作业、批阅作业和参与和学生在作业问题上的互动，学生也可以通过电脑端或者移动端在线上查看作业、做作业、提交作业和参与作业问题互动；</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▲3.3.17观察成绩分布图等作业相关数据统计分析</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3.3.18提供在线批阅学生作业/试卷功能，支持自定义圈划批注；支持批阅留痕保留至作业/试卷，支持试卷一键寸档下载；公布成绩后支持学生查看教师批阅标注内容；移动端支持老师通过语音、视频、图片、拍照、附件等形式进行作业/试卷评价；</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3.3.19支持在成绩管理中自移动端支持学生通过拍照和语音提交作业；支持老师通过语音对作业进行评价，支持老师批阅主观题作业时上传附件；老师可以通过web端查看作业分析，定义设置课堂表现分；对学生在【投票、点名、抢答、答疑、头脑风暴、问答讨论等互动环节】的表现进行打分，互动后根据学生表现立即加分；支持在备课阶段设置投票加分条件和分值，设置正确答案，答对支持设置分数；问答讨论支持给学生加分；支持设置问答加分条件和分值，设置回答者自动加分；并且支持在课堂报告内查看每位学生的课堂表现分；支持将各项表现分统计到平时成绩中，作为总成绩的一部分；</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3.3.20支持在线灵活设置课程学习成绩权重，老师可以在网页端设置各类成绩权重占比，其中包括考勤成绩、平时成绩（学习进度+互动表现）、作业成绩、考试成绩等；支持查看学生参与的所有活动情况；成绩权重占比设置后，即可查看当前权重下学生具体的成绩得分，同时支持老师手动修改成绩；学生可以通过电脑端或移动端，在线上实时查看所参与的教学活动情况以及当前得分排名，同时支持查看与昨日对比排名是否前进；支持老师随时发布成绩，发布成绩后学生可查看最终成绩端；</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 xml:space="preserve">3.3.21支持问答形式的课程互动模块，支持老师与学生的互动、学生与学生的互动；支持老师或者学生提问、回答、评论、点赞以及围观等问答互动；平台问答互动模块需支持敏感词审核制度，同时支持老师自主删除课程问答来管理互动模块； </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3.3.22支持群聊的功能，增强师生、生生的线上互动；群聊功能需支持发送文字、语音、图片、@所有人等基本互动功能；平台群聊文字需支持敏感词审核制度；</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3.3.23群聊支持群文件功能，用于临时文件的存储，方便老师随时将外部资源跟同学分享；群文件支持存储文件、图片以及网络连接；</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3.3.24支持老师从第三方客户端直接分享文件及链接至课程群聊；</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3.3.25支持课程建设数据统计，老师可以查看本门课程的学生数、资料数、任务数、作业数、课程内容构成成分等，详细了解课程建设的整体概况；</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3.4智慧课堂工具模块</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▲3.4.1支持组织见面课在线直播及直播互动：支持见面课的多校区教室互动以及网上直播，支持学生在线观看直播、教师进行教学观摩。</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注：供应商需截图展示自己平台上的见面课在线直播回放视频端口，至少截图5个回放视频证明。</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3.4.2支持老师通过网页端或者移动端来组织课程中的多个教学班级开展课堂教学活动；</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3.4.3支持课堂签到功能，提高老师点名的效率；支持按地理位置签到，可设定签到时长和签到范围，超出范围或者逾时的学生不允许签到；支持按固定手势图形签到；支持签到出勤率统计，以及详细信息导出3.4.4支持课堂投票功能，提高课堂互动性；题目类型支持单选、多选、判断题，题目支持图文结合，可设置正确答案；支持匿名投票；投票结果实时查看，可查看具体的选项选择比例和选择人，设置正确答案的，还可以查看题目的正确率和具体参与人的对错结果；</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3.4.5持有颜色区分的投票卡，学生可以通过选择投票卡来投票，老师通过投票卡的颜色区分投票结果，用于课堂上发起快速投票，活跃课堂氛围。</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3.4.6支持随机点名功能，支持设置随机点名人数；</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3.4.7支持课堂抢答功能，帮助课堂活跃气氛；支持设置抢答人数，增加筛选概率；</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3.4.8支持课堂提问功能，帮助老师在不打断教学节奏的情况下，也能收集学生问题，用于课后统一解答；</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3.4.9支持课堂话题讨论功能，帮助老师在课堂教学过程中，快速发起话题讨论，学生发表各自独立的观点，快速提取关键点，进行归纳总结；支持老师通过语音、拍照、照片和添加附件的方式快速完成话题讨论的创建；支持学生参与话题讨论，参与方式支持文字、语音、拍照、照片、文件；支持学生为他人的讨论内容点赞；支持老师查看所有回答的词云，按照热度排序滚动查看学生的讨论观点中高频热词；</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3.4.10支持在课堂上发送课堂资料给学生；</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3.4.11支持通过网页端展示课堂教学资料，通过网页端直接播放用于课堂教学的PPT，无须提前把资料拷贝到教师的电脑中；</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3.4.12支持线下课堂互动报告，包括上课时间、签到率、课堂互动活动统计、每个学生参与互动的统计，课堂资料统计等；</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3.4.13支持老师下载课堂报告，汇总数据线下课堂的数据；下载的数据包括每个学生整体的课堂学习情况，以及每一次的出勤率、互动情况等、具体的互动记录包括投票、随机点名、抢答、课堂提问等；</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3.4.14支持老师教学可以不局限于站在教室电脑前使用课堂工具和播放PPT，可以使用移动端遥控课堂教学PPT、视频和音频等教学资料在电脑大屏幕上显示或播放，也可以使用移动端遥控相应的课堂工具在教师电脑大屏幕上显示，如签到、投票、点名、抢答等；使用移动端支持PPT投屏和课堂工具遥控的功能，不需要强求在电脑上安装任何插件，或者在教室中安装额外硬件设备；支持专属投屏网站，老师可手机扫码开启课堂投屏；</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3.4.15所有课堂互动功能需支持在手机移动端和网页端全部完成，不强求一定要在教室电脑上安装额外插件。</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3.5在线考试系统模块</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3.5.1专属个人题库，平台为每位教师提供个人专属题库，该题库可应用于教师个人空间下的全部课程。题库支持单选、多选、判断、填空、问答等多类基本题型；支持WORD版本的题库批量导入题库，并可以在线修改；题目支持与课程、教学内容挂钩，且单个题目支持匹配多个知识点标签；</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3.5.2支持错题训练、自定义知识点训练、模拟考试训练三种模式，为学生提供课后自主学习的做题工具；</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（1）错题训练：学生可针对刷题过程中所做错的题目进行反复训练，提升学习质量。错题将记录至错题本；</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（2）精准训练：学生可自定义选择知识点进行刷题训练，弥补薄弱环节；</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（3）模拟考试：学生可模拟一次线上考试，感受线上考试流程，完成考试；</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（4）训练题库数据分析：为授课教师提供训练题库的数据分析结果：知识点掌握情况、学生答题情况等。教师可根据数据调整授课内容，优化教学方式；</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3.5.3支持线上考试功能，帮助老师在线上完成学生学习成果的测评；支持老师创建线上/线下考试、批阅考试试卷，同时支持线下考试成绩录回平台；支持学生可以通过电脑端或移动端在线上查看考试、提交考试试卷；移动端支持学生通过拍照片、视频和语音提交回答；</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3.5.4支持在线作业/考试的数据统计分析，方便老师对学生学习成果检验有更精准地分析；支持查看成绩分布图，清楚了解成绩分布曲线是否为正态分布；支持作业/考试的试题分析，对于客观题，支持查看每一道题目的得分率、每个选项的选择人数情况、易错选项和学生答题情况等；</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3.6个人资源库模块</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3.6.1支持个人教学资源库的功能，老师可以统一管理全部课程的教学资源；支持老师在个人教学资源库中上传各类教学资源；支持老师在新建课程时，直接从个人教学资源库引用教学内容；支持对于个人资源库的整体分析，包括存储空间分析、文件个数分析等。</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3.7专业资源库引用模块</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3.7.1在打造校内在线课程的过程中，老师可以灵活使用已有的课程学习资源，当老师既有课程资源匮乏或者没有资源时，可以引用现成的在线视频课程资源进行辅助校内教学。</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3.7.2提供较为丰富的思政教育与美育教育相关的课程资源；</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3.7.3支持灵活的引入模式，老师可选择整门课程直接引入，也可作为资源部分引入；支持即可以基于一门已有的视频课程课的作为模板，直接建设课程，也可以在课程中引用组合一门或多门视频课程；支持老师在引入线上课程资源时，查看课程基础信息、课程介绍、开课团队介绍、教学设计、在线章节视频预览、知识地图等；</w:t>
            </w:r>
          </w:p>
          <w:p>
            <w:pPr>
              <w:pStyle w:val="3"/>
              <w:widowControl/>
              <w:spacing w:before="0" w:beforeAutospacing="0" w:after="0" w:afterAutospacing="0" w:line="24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▲3.7.4支持AI智能推荐课程，可根据课程基础信息，课程名称、所属学院、专业等信息，经过推荐算法模型进行计算、筛选和排序，推荐最合适的课程给老师（提供所投真实产品的功能截图证明材料）；</w:t>
            </w:r>
          </w:p>
          <w:p>
            <w:pP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3.7.5提供至少300门已认定的本科国家级一流课程优质视频资源可供老师引入，辅助教师打造校本混合式一流课程，老师可引用线上“一流课程”部分内容和章节用于校内教学，结合课程自身特色做校内教学创新。（提供所投真实产品的功能截图证明材料）；</w:t>
            </w:r>
          </w:p>
        </w:tc>
        <w:tc>
          <w:tcPr>
            <w:tcW w:w="1065" w:type="dxa"/>
          </w:tcPr>
          <w:p>
            <w:pP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1项</w:t>
            </w:r>
          </w:p>
        </w:tc>
        <w:tc>
          <w:tcPr>
            <w:tcW w:w="1200" w:type="dxa"/>
          </w:tcPr>
          <w:p>
            <w:pP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6000.00元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dxa"/>
            <w:vMerge w:val="continue"/>
          </w:tcPr>
          <w:p>
            <w:pPr>
              <w:rPr>
                <w:rFonts w:hint="eastAsia" w:ascii="仿宋" w:hAnsi="仿宋" w:eastAsia="仿宋" w:cs="仿宋"/>
                <w:color w:val="auto"/>
                <w:sz w:val="24"/>
                <w:szCs w:val="24"/>
                <w:vertAlign w:val="baseline"/>
              </w:rPr>
            </w:pPr>
          </w:p>
        </w:tc>
        <w:tc>
          <w:tcPr>
            <w:tcW w:w="454" w:type="dxa"/>
            <w:vMerge w:val="continue"/>
          </w:tcPr>
          <w:p>
            <w:pPr>
              <w:rPr>
                <w:rFonts w:hint="eastAsia" w:ascii="仿宋" w:hAnsi="仿宋" w:eastAsia="仿宋" w:cs="仿宋"/>
                <w:color w:val="auto"/>
                <w:sz w:val="24"/>
                <w:szCs w:val="24"/>
                <w:vertAlign w:val="baseline"/>
              </w:rPr>
            </w:pPr>
          </w:p>
        </w:tc>
        <w:tc>
          <w:tcPr>
            <w:tcW w:w="879" w:type="dxa"/>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rPr>
              <w:t>申报服务</w:t>
            </w:r>
          </w:p>
        </w:tc>
        <w:tc>
          <w:tcPr>
            <w:tcW w:w="4636" w:type="dxa"/>
          </w:tcPr>
          <w:p>
            <w:pP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基于线上一流课程申报要求以及申报经验进行申报指导服务，包含申报书填写、课程网站规划、课程资源建设指导以及申报资料准备等。</w:t>
            </w:r>
          </w:p>
        </w:tc>
        <w:tc>
          <w:tcPr>
            <w:tcW w:w="1065" w:type="dxa"/>
          </w:tcPr>
          <w:p>
            <w:pP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1项</w:t>
            </w:r>
          </w:p>
        </w:tc>
        <w:tc>
          <w:tcPr>
            <w:tcW w:w="1200" w:type="dxa"/>
          </w:tcPr>
          <w:p>
            <w:pP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3500.00元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3" w:type="dxa"/>
            <w:gridSpan w:val="4"/>
            <w:vAlign w:val="center"/>
          </w:tcPr>
          <w:p>
            <w:pPr>
              <w:jc w:val="center"/>
              <w:rPr>
                <w:rFonts w:hint="default"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合计</w:t>
            </w:r>
          </w:p>
        </w:tc>
        <w:tc>
          <w:tcPr>
            <w:tcW w:w="2265" w:type="dxa"/>
            <w:gridSpan w:val="2"/>
          </w:tcPr>
          <w:p>
            <w:pPr>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130000.00元</w:t>
            </w:r>
          </w:p>
        </w:tc>
      </w:tr>
    </w:tbl>
    <w:p>
      <w:pPr>
        <w:pStyle w:val="3"/>
        <w:widowControl/>
        <w:spacing w:before="0" w:beforeAutospacing="0" w:after="0" w:afterAutospacing="0" w:line="540" w:lineRule="atLeast"/>
        <w:ind w:firstLine="555"/>
        <w:rPr>
          <w:rFonts w:hint="eastAsia" w:ascii="宋体" w:hAnsi="宋体" w:cs="宋体"/>
          <w:color w:val="auto"/>
          <w:kern w:val="0"/>
          <w:sz w:val="28"/>
          <w:szCs w:val="28"/>
          <w:lang w:val="en-US" w:eastAsia="zh-CN" w:bidi="ar"/>
        </w:rPr>
      </w:pPr>
    </w:p>
    <w:p>
      <w:pPr>
        <w:pStyle w:val="3"/>
        <w:widowControl/>
        <w:spacing w:before="0" w:beforeAutospacing="0" w:after="0" w:afterAutospacing="0" w:line="540" w:lineRule="atLeast"/>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供货期：签订合同后</w:t>
      </w:r>
      <w:r>
        <w:rPr>
          <w:rFonts w:hint="eastAsia" w:ascii="宋体" w:hAnsi="宋体" w:cs="宋体"/>
          <w:color w:val="auto"/>
          <w:kern w:val="0"/>
          <w:sz w:val="28"/>
          <w:szCs w:val="28"/>
          <w:lang w:val="en-US" w:eastAsia="zh-CN" w:bidi="ar"/>
        </w:rPr>
        <w:t>30</w:t>
      </w:r>
      <w:r>
        <w:rPr>
          <w:rFonts w:hint="eastAsia" w:ascii="宋体" w:hAnsi="宋体" w:eastAsia="宋体" w:cs="宋体"/>
          <w:color w:val="auto"/>
          <w:kern w:val="0"/>
          <w:sz w:val="28"/>
          <w:szCs w:val="28"/>
          <w:lang w:val="en-US" w:eastAsia="zh-CN" w:bidi="ar"/>
        </w:rPr>
        <w:t>工作日内。</w:t>
      </w:r>
    </w:p>
    <w:p>
      <w:pPr>
        <w:ind w:firstLine="560" w:firstLineChars="200"/>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付款方式：项目验收合格，出具验收报告，</w:t>
      </w:r>
      <w:r>
        <w:rPr>
          <w:rFonts w:hint="eastAsia" w:ascii="宋体" w:hAnsi="宋体" w:cs="宋体"/>
          <w:color w:val="auto"/>
          <w:kern w:val="0"/>
          <w:sz w:val="28"/>
          <w:szCs w:val="28"/>
          <w:lang w:val="en-US" w:eastAsia="zh-CN" w:bidi="ar"/>
        </w:rPr>
        <w:t>赤峰市财政国库集中支</w:t>
      </w:r>
      <w:r>
        <w:rPr>
          <w:rFonts w:hint="eastAsia" w:ascii="宋体" w:hAnsi="宋体" w:eastAsia="宋体" w:cs="宋体"/>
          <w:color w:val="auto"/>
          <w:kern w:val="0"/>
          <w:sz w:val="28"/>
          <w:szCs w:val="28"/>
          <w:lang w:val="en-US" w:eastAsia="zh-CN" w:bidi="ar"/>
        </w:rPr>
        <w:t>付给乙方全部合同款</w:t>
      </w:r>
      <w:r>
        <w:rPr>
          <w:rFonts w:hint="eastAsia" w:ascii="宋体" w:hAnsi="宋体" w:cs="宋体"/>
          <w:color w:val="auto"/>
          <w:kern w:val="0"/>
          <w:sz w:val="28"/>
          <w:szCs w:val="28"/>
          <w:lang w:val="en-US" w:eastAsia="zh-CN" w:bidi="ar"/>
        </w:rPr>
        <w:t>，以赤峰市财政付款时间为准</w:t>
      </w:r>
      <w:r>
        <w:rPr>
          <w:rFonts w:hint="eastAsia" w:ascii="宋体" w:hAnsi="宋体" w:eastAsia="宋体" w:cs="宋体"/>
          <w:color w:val="auto"/>
          <w:kern w:val="0"/>
          <w:sz w:val="28"/>
          <w:szCs w:val="28"/>
          <w:lang w:val="en-US" w:eastAsia="zh-CN" w:bidi="ar"/>
        </w:rPr>
        <w:t>。</w:t>
      </w:r>
    </w:p>
    <w:p>
      <w:pPr>
        <w:pStyle w:val="3"/>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二、申请人的资格要求</w:t>
      </w:r>
    </w:p>
    <w:p>
      <w:pPr>
        <w:pStyle w:val="3"/>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1.满足《中华人民共和国政府采购法》第二十二条规定；</w:t>
      </w:r>
    </w:p>
    <w:p>
      <w:pPr>
        <w:pStyle w:val="3"/>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2.落实政府采购政策需满足的资格要求：</w:t>
      </w:r>
    </w:p>
    <w:p>
      <w:pPr>
        <w:pStyle w:val="3"/>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（1）未被列入“信用中国”网站(www.creditchina.gov.cn)、中国政府采购网(www.ccgp.gov.cn)等渠道信用失信被执行人、重大税收违法案件当事人名单、政府采购严重违法失信行为记录名单；</w:t>
      </w:r>
    </w:p>
    <w:p>
      <w:pPr>
        <w:pStyle w:val="3"/>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2）单位负责人为同一人或者存在直接控股、管理关系供应商，不得参加同一项下的政府采购活动；为项目采购提供整体设计、规范编制或者项目管理、监理、检测等服务的供应商，不得再参加该项目采购的其他采购活动；</w:t>
      </w:r>
    </w:p>
    <w:p>
      <w:pPr>
        <w:pStyle w:val="3"/>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（3）本项目不接受联合体投标。</w:t>
      </w:r>
    </w:p>
    <w:p>
      <w:pPr>
        <w:pStyle w:val="3"/>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3.本项目的特定资格要求：</w:t>
      </w:r>
    </w:p>
    <w:p>
      <w:pPr>
        <w:pStyle w:val="3"/>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无</w:t>
      </w:r>
    </w:p>
    <w:p>
      <w:pPr>
        <w:pStyle w:val="3"/>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三、报名</w:t>
      </w:r>
    </w:p>
    <w:p>
      <w:pPr>
        <w:pStyle w:val="3"/>
        <w:widowControl/>
        <w:spacing w:before="0" w:beforeAutospacing="0" w:after="0" w:afterAutospacing="0" w:line="540" w:lineRule="atLeast"/>
        <w:ind w:firstLine="555"/>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时间：</w:t>
      </w:r>
      <w:r>
        <w:rPr>
          <w:rFonts w:hint="eastAsia" w:ascii="宋体" w:hAnsi="宋体" w:cs="宋体"/>
          <w:color w:val="auto"/>
          <w:kern w:val="0"/>
          <w:sz w:val="28"/>
          <w:szCs w:val="28"/>
          <w:highlight w:val="none"/>
          <w:lang w:val="en-US" w:eastAsia="zh-CN" w:bidi="ar"/>
        </w:rPr>
        <w:t>2025</w:t>
      </w:r>
      <w:r>
        <w:rPr>
          <w:rFonts w:hint="eastAsia" w:ascii="宋体" w:hAnsi="宋体" w:eastAsia="宋体" w:cs="宋体"/>
          <w:color w:val="auto"/>
          <w:kern w:val="0"/>
          <w:sz w:val="28"/>
          <w:szCs w:val="28"/>
          <w:highlight w:val="none"/>
          <w:lang w:val="en-US" w:eastAsia="zh-CN" w:bidi="ar"/>
        </w:rPr>
        <w:t>年</w:t>
      </w:r>
      <w:r>
        <w:rPr>
          <w:rFonts w:hint="eastAsia" w:ascii="宋体" w:hAnsi="宋体" w:cs="宋体"/>
          <w:color w:val="auto"/>
          <w:kern w:val="0"/>
          <w:sz w:val="28"/>
          <w:szCs w:val="28"/>
          <w:highlight w:val="none"/>
          <w:lang w:val="en-US" w:eastAsia="zh-CN" w:bidi="ar"/>
        </w:rPr>
        <w:t>12</w:t>
      </w:r>
      <w:r>
        <w:rPr>
          <w:rFonts w:hint="eastAsia" w:ascii="宋体" w:hAnsi="宋体" w:eastAsia="宋体" w:cs="宋体"/>
          <w:color w:val="auto"/>
          <w:kern w:val="0"/>
          <w:sz w:val="28"/>
          <w:szCs w:val="28"/>
          <w:highlight w:val="none"/>
          <w:lang w:val="en-US" w:eastAsia="zh-CN" w:bidi="ar"/>
        </w:rPr>
        <w:t>月</w:t>
      </w:r>
      <w:r>
        <w:rPr>
          <w:rFonts w:hint="eastAsia" w:ascii="宋体" w:hAnsi="宋体" w:cs="宋体"/>
          <w:color w:val="auto"/>
          <w:kern w:val="0"/>
          <w:sz w:val="28"/>
          <w:szCs w:val="28"/>
          <w:highlight w:val="none"/>
          <w:lang w:val="en-US" w:eastAsia="zh-CN" w:bidi="ar"/>
        </w:rPr>
        <w:t>2</w:t>
      </w:r>
      <w:r>
        <w:rPr>
          <w:rFonts w:hint="eastAsia" w:ascii="宋体" w:hAnsi="宋体" w:eastAsia="宋体" w:cs="宋体"/>
          <w:color w:val="auto"/>
          <w:kern w:val="0"/>
          <w:sz w:val="28"/>
          <w:szCs w:val="28"/>
          <w:highlight w:val="none"/>
          <w:lang w:val="en-US" w:eastAsia="zh-CN" w:bidi="ar"/>
        </w:rPr>
        <w:t>日至</w:t>
      </w:r>
      <w:r>
        <w:rPr>
          <w:rFonts w:hint="eastAsia" w:ascii="宋体" w:hAnsi="宋体" w:cs="宋体"/>
          <w:color w:val="auto"/>
          <w:kern w:val="0"/>
          <w:sz w:val="28"/>
          <w:szCs w:val="28"/>
          <w:highlight w:val="none"/>
          <w:lang w:val="en-US" w:eastAsia="zh-CN" w:bidi="ar"/>
        </w:rPr>
        <w:t>2025</w:t>
      </w:r>
      <w:r>
        <w:rPr>
          <w:rFonts w:hint="eastAsia" w:ascii="宋体" w:hAnsi="宋体" w:eastAsia="宋体" w:cs="宋体"/>
          <w:color w:val="auto"/>
          <w:kern w:val="0"/>
          <w:sz w:val="28"/>
          <w:szCs w:val="28"/>
          <w:highlight w:val="none"/>
          <w:lang w:val="en-US" w:eastAsia="zh-CN" w:bidi="ar"/>
        </w:rPr>
        <w:t>年</w:t>
      </w:r>
      <w:r>
        <w:rPr>
          <w:rFonts w:hint="eastAsia" w:ascii="宋体" w:hAnsi="宋体" w:cs="宋体"/>
          <w:color w:val="auto"/>
          <w:kern w:val="0"/>
          <w:sz w:val="28"/>
          <w:szCs w:val="28"/>
          <w:highlight w:val="none"/>
          <w:lang w:val="en-US" w:eastAsia="zh-CN" w:bidi="ar"/>
        </w:rPr>
        <w:t>12</w:t>
      </w:r>
      <w:r>
        <w:rPr>
          <w:rFonts w:hint="eastAsia" w:ascii="宋体" w:hAnsi="宋体" w:eastAsia="宋体" w:cs="宋体"/>
          <w:color w:val="auto"/>
          <w:kern w:val="0"/>
          <w:sz w:val="28"/>
          <w:szCs w:val="28"/>
          <w:highlight w:val="none"/>
          <w:lang w:val="en-US" w:eastAsia="zh-CN" w:bidi="ar"/>
        </w:rPr>
        <w:t>月</w:t>
      </w:r>
      <w:r>
        <w:rPr>
          <w:rFonts w:hint="eastAsia" w:ascii="宋体" w:hAnsi="宋体" w:cs="宋体"/>
          <w:color w:val="auto"/>
          <w:kern w:val="0"/>
          <w:sz w:val="28"/>
          <w:szCs w:val="28"/>
          <w:highlight w:val="none"/>
          <w:lang w:val="en-US" w:eastAsia="zh-CN" w:bidi="ar"/>
        </w:rPr>
        <w:t>4</w:t>
      </w:r>
      <w:r>
        <w:rPr>
          <w:rFonts w:hint="eastAsia" w:ascii="宋体" w:hAnsi="宋体" w:eastAsia="宋体" w:cs="宋体"/>
          <w:color w:val="auto"/>
          <w:kern w:val="0"/>
          <w:sz w:val="28"/>
          <w:szCs w:val="28"/>
          <w:highlight w:val="none"/>
          <w:lang w:val="en-US" w:eastAsia="zh-CN" w:bidi="ar"/>
        </w:rPr>
        <w:t>日，每天上午8:30至11:00，下午14:30至17:00。（北京时间，法定节假日除外，不少于三个工作日）</w:t>
      </w:r>
    </w:p>
    <w:p>
      <w:pPr>
        <w:pStyle w:val="3"/>
        <w:widowControl/>
        <w:spacing w:before="0" w:beforeAutospacing="0" w:after="0" w:afterAutospacing="0" w:line="540" w:lineRule="atLeast"/>
        <w:ind w:firstLine="555"/>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地点：赤峰学院</w:t>
      </w:r>
      <w:r>
        <w:rPr>
          <w:rFonts w:hint="eastAsia" w:ascii="宋体" w:hAnsi="宋体" w:cs="宋体"/>
          <w:color w:val="auto"/>
          <w:kern w:val="0"/>
          <w:sz w:val="28"/>
          <w:szCs w:val="28"/>
          <w:highlight w:val="none"/>
          <w:lang w:val="en-US" w:eastAsia="zh-CN" w:bidi="ar"/>
        </w:rPr>
        <w:t>崇学</w:t>
      </w:r>
      <w:r>
        <w:rPr>
          <w:rFonts w:hint="eastAsia" w:ascii="宋体" w:hAnsi="宋体" w:eastAsia="宋体" w:cs="宋体"/>
          <w:color w:val="auto"/>
          <w:kern w:val="0"/>
          <w:sz w:val="28"/>
          <w:szCs w:val="28"/>
          <w:highlight w:val="none"/>
          <w:lang w:val="en-US" w:eastAsia="zh-CN" w:bidi="ar"/>
        </w:rPr>
        <w:t>楼</w:t>
      </w:r>
      <w:r>
        <w:rPr>
          <w:rFonts w:hint="eastAsia" w:ascii="宋体" w:hAnsi="宋体" w:cs="宋体"/>
          <w:color w:val="auto"/>
          <w:kern w:val="0"/>
          <w:sz w:val="28"/>
          <w:szCs w:val="28"/>
          <w:highlight w:val="none"/>
          <w:lang w:val="en-US" w:eastAsia="zh-CN" w:bidi="ar"/>
        </w:rPr>
        <w:t>104-3</w:t>
      </w:r>
      <w:r>
        <w:rPr>
          <w:rFonts w:hint="eastAsia" w:ascii="宋体" w:hAnsi="宋体" w:eastAsia="宋体" w:cs="宋体"/>
          <w:color w:val="auto"/>
          <w:kern w:val="0"/>
          <w:sz w:val="28"/>
          <w:szCs w:val="28"/>
          <w:highlight w:val="none"/>
          <w:lang w:val="en-US" w:eastAsia="zh-CN" w:bidi="ar"/>
        </w:rPr>
        <w:t>室（或校外项目单位地址）</w:t>
      </w:r>
    </w:p>
    <w:p>
      <w:pPr>
        <w:pStyle w:val="3"/>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方式：报名时需携带加盖公章的以下资料复印件及原件一份：</w:t>
      </w:r>
    </w:p>
    <w:p>
      <w:pPr>
        <w:pStyle w:val="3"/>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（1）预投标人代表身份证明：法定代表人提供身份证明（复印件）；授权委托人提供授权委托书（原件）及身份证明（复印件）；</w:t>
      </w:r>
    </w:p>
    <w:p>
      <w:pPr>
        <w:pStyle w:val="3"/>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（2）三证合一或多证合一营业执照副本（复印件）；</w:t>
      </w:r>
    </w:p>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left="0" w:leftChars="0" w:right="0" w:firstLine="560" w:firstLineChars="200"/>
        <w:textAlignment w:val="auto"/>
        <w:rPr>
          <w:rFonts w:hint="eastAsia" w:ascii="宋体" w:hAnsi="宋体" w:eastAsia="宋体" w:cs="宋体"/>
          <w:color w:val="auto"/>
          <w:kern w:val="0"/>
          <w:sz w:val="28"/>
          <w:szCs w:val="28"/>
          <w:lang w:val="en-US" w:eastAsia="zh-CN" w:bidi="ar"/>
        </w:rPr>
      </w:pPr>
      <w:r>
        <w:rPr>
          <w:rFonts w:hint="eastAsia" w:ascii="宋体" w:hAnsi="宋体" w:cs="宋体"/>
          <w:color w:val="auto"/>
          <w:kern w:val="0"/>
          <w:sz w:val="28"/>
          <w:szCs w:val="28"/>
          <w:lang w:val="en-US" w:eastAsia="zh-CN" w:bidi="ar"/>
        </w:rPr>
        <w:t>（3）</w:t>
      </w:r>
      <w:r>
        <w:rPr>
          <w:rFonts w:hint="eastAsia" w:ascii="宋体" w:hAnsi="宋体" w:eastAsia="宋体" w:cs="宋体"/>
          <w:color w:val="auto"/>
          <w:kern w:val="0"/>
          <w:sz w:val="28"/>
          <w:szCs w:val="28"/>
          <w:lang w:val="en-US" w:eastAsia="zh-CN" w:bidi="ar"/>
        </w:rPr>
        <w:t>未被列入“信用中国”网站(www.creditchina.gov.cn)、中国政府采购网(www.ccgp.gov.cn)等渠道信用失信被执行人、重大税收违法案件当事人名单、政府采购严重违法失信行为记录名单；</w:t>
      </w:r>
      <w:r>
        <w:rPr>
          <w:rFonts w:hint="eastAsia" w:ascii="宋体" w:hAnsi="宋体" w:cs="宋体"/>
          <w:color w:val="auto"/>
          <w:kern w:val="0"/>
          <w:sz w:val="28"/>
          <w:szCs w:val="28"/>
          <w:lang w:val="en-US" w:eastAsia="zh-CN" w:bidi="ar"/>
        </w:rPr>
        <w:t>提供截图或证明材料。</w:t>
      </w:r>
    </w:p>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left="0" w:leftChars="0" w:right="0" w:firstLine="560" w:firstLineChars="200"/>
        <w:textAlignment w:val="auto"/>
        <w:rPr>
          <w:rFonts w:hint="eastAsia" w:ascii="宋体" w:hAnsi="宋体" w:eastAsia="宋体" w:cs="宋体"/>
          <w:color w:val="auto"/>
          <w:kern w:val="0"/>
          <w:sz w:val="28"/>
          <w:szCs w:val="28"/>
          <w:lang w:val="en-US" w:eastAsia="zh-CN" w:bidi="ar"/>
        </w:rPr>
      </w:pPr>
      <w:r>
        <w:rPr>
          <w:rFonts w:hint="eastAsia" w:ascii="宋体" w:hAnsi="宋体" w:cs="宋体"/>
          <w:color w:val="auto"/>
          <w:kern w:val="0"/>
          <w:sz w:val="28"/>
          <w:szCs w:val="28"/>
          <w:lang w:val="en-US" w:eastAsia="zh-CN" w:bidi="ar"/>
        </w:rPr>
        <w:t>（4）</w:t>
      </w:r>
      <w:r>
        <w:rPr>
          <w:rFonts w:hint="eastAsia" w:ascii="宋体" w:hAnsi="宋体" w:eastAsia="宋体" w:cs="宋体"/>
          <w:color w:val="auto"/>
          <w:kern w:val="0"/>
          <w:sz w:val="28"/>
          <w:szCs w:val="28"/>
          <w:lang w:val="en-US" w:eastAsia="zh-CN" w:bidi="ar"/>
        </w:rPr>
        <w:t>单位负责人为同一人或者存在直接控股、管理关系供应商，不得参加同一项下的政府采购活动；出具“天眼查”或“企查查”生成的报告（查关联单位）。</w:t>
      </w:r>
    </w:p>
    <w:p>
      <w:pPr>
        <w:pStyle w:val="3"/>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询价文件免费下载，下载地址赤峰学院主页采购专栏（http://www.cfxy.cn/）</w:t>
      </w:r>
    </w:p>
    <w:p>
      <w:pPr>
        <w:pStyle w:val="3"/>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四、提交投标报价截止时间、开标时间和地点</w:t>
      </w:r>
    </w:p>
    <w:p>
      <w:pPr>
        <w:pStyle w:val="3"/>
        <w:widowControl/>
        <w:spacing w:before="0" w:beforeAutospacing="0" w:after="0" w:afterAutospacing="0" w:line="540" w:lineRule="atLeast"/>
        <w:ind w:firstLine="555"/>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提交投标报价截</w:t>
      </w:r>
      <w:r>
        <w:rPr>
          <w:rFonts w:hint="eastAsia" w:ascii="宋体" w:hAnsi="宋体" w:cs="宋体"/>
          <w:color w:val="auto"/>
          <w:kern w:val="0"/>
          <w:sz w:val="28"/>
          <w:szCs w:val="28"/>
          <w:highlight w:val="none"/>
          <w:lang w:val="en-US" w:eastAsia="zh-CN" w:bidi="ar"/>
        </w:rPr>
        <w:t>暨开标</w:t>
      </w:r>
      <w:r>
        <w:rPr>
          <w:rFonts w:hint="eastAsia" w:ascii="宋体" w:hAnsi="宋体" w:eastAsia="宋体" w:cs="宋体"/>
          <w:color w:val="auto"/>
          <w:kern w:val="0"/>
          <w:sz w:val="28"/>
          <w:szCs w:val="28"/>
          <w:highlight w:val="none"/>
          <w:lang w:val="en-US" w:eastAsia="zh-CN" w:bidi="ar"/>
        </w:rPr>
        <w:t>止时间：</w:t>
      </w:r>
      <w:r>
        <w:rPr>
          <w:rFonts w:hint="eastAsia" w:ascii="宋体" w:hAnsi="宋体" w:cs="宋体"/>
          <w:color w:val="auto"/>
          <w:kern w:val="0"/>
          <w:sz w:val="28"/>
          <w:szCs w:val="28"/>
          <w:highlight w:val="none"/>
          <w:lang w:val="en-US" w:eastAsia="zh-CN" w:bidi="ar"/>
        </w:rPr>
        <w:t>2025</w:t>
      </w:r>
      <w:r>
        <w:rPr>
          <w:rFonts w:hint="eastAsia" w:ascii="宋体" w:hAnsi="宋体" w:eastAsia="宋体" w:cs="宋体"/>
          <w:color w:val="auto"/>
          <w:kern w:val="0"/>
          <w:sz w:val="28"/>
          <w:szCs w:val="28"/>
          <w:highlight w:val="none"/>
          <w:lang w:val="en-US" w:eastAsia="zh-CN" w:bidi="ar"/>
        </w:rPr>
        <w:t>年</w:t>
      </w:r>
      <w:r>
        <w:rPr>
          <w:rFonts w:hint="eastAsia" w:ascii="宋体" w:hAnsi="宋体" w:cs="宋体"/>
          <w:color w:val="auto"/>
          <w:kern w:val="0"/>
          <w:sz w:val="28"/>
          <w:szCs w:val="28"/>
          <w:highlight w:val="none"/>
          <w:lang w:val="en-US" w:eastAsia="zh-CN" w:bidi="ar"/>
        </w:rPr>
        <w:t>12</w:t>
      </w:r>
      <w:r>
        <w:rPr>
          <w:rFonts w:hint="eastAsia" w:ascii="宋体" w:hAnsi="宋体" w:eastAsia="宋体" w:cs="宋体"/>
          <w:color w:val="auto"/>
          <w:kern w:val="0"/>
          <w:sz w:val="28"/>
          <w:szCs w:val="28"/>
          <w:highlight w:val="none"/>
          <w:lang w:val="en-US" w:eastAsia="zh-CN" w:bidi="ar"/>
        </w:rPr>
        <w:t>月</w:t>
      </w:r>
      <w:r>
        <w:rPr>
          <w:rFonts w:hint="eastAsia" w:ascii="宋体" w:hAnsi="宋体" w:cs="宋体"/>
          <w:color w:val="auto"/>
          <w:kern w:val="0"/>
          <w:sz w:val="28"/>
          <w:szCs w:val="28"/>
          <w:highlight w:val="none"/>
          <w:lang w:val="en-US" w:eastAsia="zh-CN" w:bidi="ar"/>
        </w:rPr>
        <w:t>5</w:t>
      </w:r>
      <w:r>
        <w:rPr>
          <w:rFonts w:hint="eastAsia" w:ascii="宋体" w:hAnsi="宋体" w:eastAsia="宋体" w:cs="宋体"/>
          <w:color w:val="auto"/>
          <w:kern w:val="0"/>
          <w:sz w:val="28"/>
          <w:szCs w:val="28"/>
          <w:highlight w:val="none"/>
          <w:lang w:val="en-US" w:eastAsia="zh-CN" w:bidi="ar"/>
        </w:rPr>
        <w:t>日</w:t>
      </w:r>
      <w:r>
        <w:rPr>
          <w:rFonts w:hint="eastAsia" w:ascii="宋体" w:hAnsi="宋体" w:cs="宋体"/>
          <w:color w:val="auto"/>
          <w:kern w:val="0"/>
          <w:sz w:val="28"/>
          <w:szCs w:val="28"/>
          <w:highlight w:val="none"/>
          <w:lang w:val="en-US" w:eastAsia="zh-CN" w:bidi="ar"/>
        </w:rPr>
        <w:t>9</w:t>
      </w:r>
      <w:r>
        <w:rPr>
          <w:rFonts w:hint="eastAsia" w:ascii="宋体" w:hAnsi="宋体" w:eastAsia="宋体" w:cs="宋体"/>
          <w:color w:val="auto"/>
          <w:kern w:val="0"/>
          <w:sz w:val="28"/>
          <w:szCs w:val="28"/>
          <w:highlight w:val="none"/>
          <w:lang w:val="en-US" w:eastAsia="zh-CN" w:bidi="ar"/>
        </w:rPr>
        <w:t>点</w:t>
      </w:r>
      <w:r>
        <w:rPr>
          <w:rFonts w:hint="eastAsia" w:ascii="宋体" w:hAnsi="宋体" w:cs="宋体"/>
          <w:color w:val="auto"/>
          <w:kern w:val="0"/>
          <w:sz w:val="28"/>
          <w:szCs w:val="28"/>
          <w:highlight w:val="none"/>
          <w:lang w:val="en-US" w:eastAsia="zh-CN" w:bidi="ar"/>
        </w:rPr>
        <w:t>00</w:t>
      </w:r>
      <w:r>
        <w:rPr>
          <w:rFonts w:hint="eastAsia" w:ascii="宋体" w:hAnsi="宋体" w:eastAsia="宋体" w:cs="宋体"/>
          <w:color w:val="auto"/>
          <w:kern w:val="0"/>
          <w:sz w:val="28"/>
          <w:szCs w:val="28"/>
          <w:highlight w:val="none"/>
          <w:lang w:val="en-US" w:eastAsia="zh-CN" w:bidi="ar"/>
        </w:rPr>
        <w:t>分（北京时间、第四个工作日或）</w:t>
      </w:r>
    </w:p>
    <w:p>
      <w:pPr>
        <w:pStyle w:val="3"/>
        <w:widowControl/>
        <w:spacing w:before="0" w:beforeAutospacing="0" w:after="0" w:afterAutospacing="0" w:line="540" w:lineRule="atLeast"/>
        <w:ind w:firstLine="555"/>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地点：赤峰学院</w:t>
      </w:r>
      <w:r>
        <w:rPr>
          <w:rFonts w:hint="eastAsia" w:ascii="宋体" w:hAnsi="宋体" w:cs="宋体"/>
          <w:color w:val="auto"/>
          <w:kern w:val="0"/>
          <w:sz w:val="28"/>
          <w:szCs w:val="28"/>
          <w:highlight w:val="none"/>
          <w:lang w:val="en-US" w:eastAsia="zh-CN" w:bidi="ar"/>
        </w:rPr>
        <w:t>崇学</w:t>
      </w:r>
      <w:r>
        <w:rPr>
          <w:rFonts w:hint="eastAsia" w:ascii="宋体" w:hAnsi="宋体" w:eastAsia="宋体" w:cs="宋体"/>
          <w:color w:val="auto"/>
          <w:kern w:val="0"/>
          <w:sz w:val="28"/>
          <w:szCs w:val="28"/>
          <w:highlight w:val="none"/>
          <w:lang w:val="en-US" w:eastAsia="zh-CN" w:bidi="ar"/>
        </w:rPr>
        <w:t>楼</w:t>
      </w:r>
      <w:r>
        <w:rPr>
          <w:rFonts w:hint="eastAsia" w:ascii="宋体" w:hAnsi="宋体" w:cs="宋体"/>
          <w:color w:val="auto"/>
          <w:kern w:val="0"/>
          <w:sz w:val="28"/>
          <w:szCs w:val="28"/>
          <w:highlight w:val="none"/>
          <w:lang w:val="en-US" w:eastAsia="zh-CN" w:bidi="ar"/>
        </w:rPr>
        <w:t>104-3</w:t>
      </w:r>
      <w:r>
        <w:rPr>
          <w:rFonts w:hint="eastAsia" w:ascii="宋体" w:hAnsi="宋体" w:eastAsia="宋体" w:cs="宋体"/>
          <w:color w:val="auto"/>
          <w:kern w:val="0"/>
          <w:sz w:val="28"/>
          <w:szCs w:val="28"/>
          <w:highlight w:val="none"/>
          <w:lang w:val="en-US" w:eastAsia="zh-CN" w:bidi="ar"/>
        </w:rPr>
        <w:t>室（或校外项目单位地址）</w:t>
      </w:r>
    </w:p>
    <w:p>
      <w:pPr>
        <w:pStyle w:val="3"/>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五、公告期限</w:t>
      </w:r>
    </w:p>
    <w:p>
      <w:pPr>
        <w:pStyle w:val="3"/>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自本公告发布之日起</w:t>
      </w:r>
      <w:r>
        <w:rPr>
          <w:rFonts w:hint="eastAsia" w:ascii="宋体" w:hAnsi="宋体" w:cs="宋体"/>
          <w:color w:val="auto"/>
          <w:kern w:val="0"/>
          <w:sz w:val="28"/>
          <w:szCs w:val="28"/>
          <w:lang w:val="en-US" w:eastAsia="zh-CN" w:bidi="ar"/>
        </w:rPr>
        <w:t>三</w:t>
      </w:r>
      <w:r>
        <w:rPr>
          <w:rFonts w:hint="eastAsia" w:ascii="宋体" w:hAnsi="宋体" w:eastAsia="宋体" w:cs="宋体"/>
          <w:color w:val="auto"/>
          <w:kern w:val="0"/>
          <w:sz w:val="28"/>
          <w:szCs w:val="28"/>
          <w:lang w:val="en-US" w:eastAsia="zh-CN" w:bidi="ar"/>
        </w:rPr>
        <w:t>个工作日（不少于三个工作日）。</w:t>
      </w:r>
    </w:p>
    <w:p>
      <w:pPr>
        <w:pStyle w:val="3"/>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六、其他补充事宜</w:t>
      </w:r>
    </w:p>
    <w:p>
      <w:pPr>
        <w:pStyle w:val="3"/>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发布公告的媒介：赤峰学院主页http://www.cfxy.cn/“政府采购专栏”上发布。</w:t>
      </w:r>
    </w:p>
    <w:p>
      <w:pPr>
        <w:pStyle w:val="3"/>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七、联系方式</w:t>
      </w:r>
    </w:p>
    <w:p>
      <w:pPr>
        <w:pStyle w:val="3"/>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1.采购人信息</w:t>
      </w:r>
    </w:p>
    <w:p>
      <w:pPr>
        <w:pStyle w:val="3"/>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名 称：赤峰学院</w:t>
      </w:r>
      <w:r>
        <w:rPr>
          <w:rFonts w:hint="eastAsia" w:ascii="宋体" w:hAnsi="宋体" w:cs="宋体"/>
          <w:color w:val="auto"/>
          <w:kern w:val="0"/>
          <w:sz w:val="28"/>
          <w:szCs w:val="28"/>
          <w:lang w:val="en-US" w:eastAsia="zh-CN" w:bidi="ar"/>
        </w:rPr>
        <w:t>经济与管理学院</w:t>
      </w:r>
      <w:r>
        <w:rPr>
          <w:rFonts w:hint="eastAsia" w:ascii="宋体" w:hAnsi="宋体" w:eastAsia="宋体" w:cs="宋体"/>
          <w:color w:val="auto"/>
          <w:kern w:val="0"/>
          <w:sz w:val="28"/>
          <w:szCs w:val="28"/>
          <w:lang w:val="en-US" w:eastAsia="zh-CN" w:bidi="ar"/>
        </w:rPr>
        <w:t>（项目单位名称）　　　　　</w:t>
      </w:r>
    </w:p>
    <w:p>
      <w:pPr>
        <w:pStyle w:val="3"/>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地址：赤峰市红山区迎宾路1号（或校外项目单位地址）　　　　　　　　</w:t>
      </w:r>
    </w:p>
    <w:p>
      <w:pPr>
        <w:pStyle w:val="3"/>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联系人：</w:t>
      </w:r>
      <w:r>
        <w:rPr>
          <w:rFonts w:hint="eastAsia" w:ascii="宋体" w:hAnsi="宋体" w:cs="宋体"/>
          <w:color w:val="auto"/>
          <w:kern w:val="0"/>
          <w:sz w:val="28"/>
          <w:szCs w:val="28"/>
          <w:lang w:val="en-US" w:eastAsia="zh-CN" w:bidi="ar"/>
        </w:rPr>
        <w:t>鲍彦</w:t>
      </w:r>
      <w:r>
        <w:rPr>
          <w:rFonts w:hint="eastAsia" w:ascii="宋体" w:hAnsi="宋体" w:eastAsia="宋体" w:cs="宋体"/>
          <w:color w:val="auto"/>
          <w:kern w:val="0"/>
          <w:sz w:val="28"/>
          <w:szCs w:val="28"/>
          <w:lang w:val="en-US" w:eastAsia="zh-CN" w:bidi="ar"/>
        </w:rPr>
        <w:t xml:space="preserve">   联系电话：</w:t>
      </w:r>
      <w:r>
        <w:rPr>
          <w:rFonts w:hint="eastAsia" w:ascii="宋体" w:hAnsi="宋体" w:cs="宋体"/>
          <w:color w:val="auto"/>
          <w:kern w:val="0"/>
          <w:sz w:val="28"/>
          <w:szCs w:val="28"/>
          <w:lang w:val="en-US" w:eastAsia="zh-CN" w:bidi="ar"/>
        </w:rPr>
        <w:t>15648610360</w:t>
      </w:r>
      <w:r>
        <w:rPr>
          <w:rFonts w:hint="eastAsia" w:ascii="宋体" w:hAnsi="宋体" w:eastAsia="宋体" w:cs="宋体"/>
          <w:color w:val="auto"/>
          <w:kern w:val="0"/>
          <w:sz w:val="28"/>
          <w:szCs w:val="28"/>
          <w:lang w:val="en-US" w:eastAsia="zh-CN" w:bidi="ar"/>
        </w:rPr>
        <w:t xml:space="preserve"> 　　　　　　</w:t>
      </w:r>
    </w:p>
    <w:p>
      <w:pPr>
        <w:pStyle w:val="3"/>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2.采购监管机构信息</w:t>
      </w:r>
    </w:p>
    <w:p>
      <w:pPr>
        <w:pStyle w:val="3"/>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名 称：赤峰学院资产与实验室管理处　　　　　　　　　　　　</w:t>
      </w:r>
    </w:p>
    <w:p>
      <w:pPr>
        <w:pStyle w:val="3"/>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地　址：赤峰学院崇德楼509室   　　　　　　　　　　　　</w:t>
      </w:r>
    </w:p>
    <w:p>
      <w:pPr>
        <w:pStyle w:val="3"/>
        <w:widowControl/>
        <w:spacing w:before="0" w:beforeAutospacing="0" w:after="0" w:afterAutospacing="0" w:line="540" w:lineRule="atLeast"/>
        <w:ind w:firstLine="555"/>
        <w:rPr>
          <w:rFonts w:hint="eastAsia" w:ascii="宋体" w:hAnsi="宋体" w:eastAsia="宋体" w:cs="宋体"/>
          <w:color w:val="auto"/>
          <w:kern w:val="0"/>
          <w:sz w:val="32"/>
          <w:szCs w:val="32"/>
          <w:lang w:val="en-US" w:eastAsia="zh-CN" w:bidi="ar"/>
        </w:rPr>
      </w:pPr>
      <w:r>
        <w:rPr>
          <w:rFonts w:hint="eastAsia" w:ascii="宋体" w:hAnsi="宋体" w:eastAsia="宋体" w:cs="宋体"/>
          <w:color w:val="auto"/>
          <w:kern w:val="0"/>
          <w:sz w:val="28"/>
          <w:szCs w:val="28"/>
          <w:lang w:val="en-US" w:eastAsia="zh-CN" w:bidi="ar"/>
        </w:rPr>
        <w:t>联系电话：0476-8300171　　　　　　　　　　　　</w:t>
      </w:r>
    </w:p>
    <w:p>
      <w:pPr>
        <w:ind w:firstLine="2880" w:firstLineChars="900"/>
        <w:rPr>
          <w:rFonts w:hint="eastAsia" w:ascii="宋体" w:hAnsi="宋体" w:eastAsia="宋体" w:cs="宋体"/>
          <w:color w:val="auto"/>
          <w:kern w:val="0"/>
          <w:sz w:val="32"/>
          <w:szCs w:val="32"/>
          <w:lang w:val="en-US" w:eastAsia="zh-CN" w:bidi="ar"/>
        </w:rPr>
      </w:pPr>
      <w:r>
        <w:rPr>
          <w:rFonts w:hint="eastAsia" w:ascii="宋体" w:hAnsi="宋体" w:eastAsia="宋体" w:cs="宋体"/>
          <w:color w:val="auto"/>
          <w:kern w:val="0"/>
          <w:sz w:val="32"/>
          <w:szCs w:val="32"/>
          <w:lang w:val="en-US" w:eastAsia="zh-CN" w:bidi="ar"/>
        </w:rPr>
        <w:t>合同（样本）</w:t>
      </w:r>
    </w:p>
    <w:p>
      <w:pPr>
        <w:jc w:val="center"/>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（按最后确定的询价内容</w:t>
      </w:r>
      <w:r>
        <w:rPr>
          <w:rFonts w:hint="eastAsia" w:ascii="宋体" w:hAnsi="宋体" w:cs="宋体"/>
          <w:color w:val="auto"/>
          <w:kern w:val="0"/>
          <w:sz w:val="28"/>
          <w:szCs w:val="28"/>
          <w:lang w:val="en-US" w:eastAsia="zh-CN" w:bidi="ar"/>
        </w:rPr>
        <w:t>修订</w:t>
      </w:r>
      <w:r>
        <w:rPr>
          <w:rFonts w:hint="eastAsia" w:ascii="宋体" w:hAnsi="宋体" w:eastAsia="宋体" w:cs="宋体"/>
          <w:color w:val="auto"/>
          <w:kern w:val="0"/>
          <w:sz w:val="28"/>
          <w:szCs w:val="28"/>
          <w:lang w:val="en-US" w:eastAsia="zh-CN" w:bidi="ar"/>
        </w:rPr>
        <w:t>执行）</w:t>
      </w:r>
    </w:p>
    <w:p>
      <w:pPr>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采购人：赤峰学院（以下简称甲方）</w:t>
      </w:r>
    </w:p>
    <w:p>
      <w:pPr>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成交人： XXXXXXXXXXX（以下简称乙方）</w:t>
      </w:r>
    </w:p>
    <w:p>
      <w:pPr>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合同编号：</w:t>
      </w:r>
      <w:r>
        <w:rPr>
          <w:rFonts w:hint="eastAsia" w:ascii="宋体" w:hAnsi="宋体" w:eastAsia="宋体" w:cs="宋体"/>
          <w:color w:val="auto"/>
          <w:sz w:val="30"/>
          <w:szCs w:val="30"/>
          <w:lang w:val="en-US" w:eastAsia="zh-CN"/>
        </w:rPr>
        <w:t>项目单位名称（首字母）+年度+序号（如：001,002,003…）</w:t>
      </w:r>
    </w:p>
    <w:p>
      <w:pPr>
        <w:pStyle w:val="3"/>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乙方在甲方XXXX（项目单位名称）组织的×××××（项目名称）询价采购中成交，依据《中华人民共和国民法典》及其他有关法律规定，遵循平等、自愿、公平和诚实信用的原则，根据本次询价的内容及乙方的承诺，经甲、乙双方协商一致，达成如下条款，签订本合同，以便共同遵守。</w:t>
      </w:r>
    </w:p>
    <w:p>
      <w:pPr>
        <w:jc w:val="left"/>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 xml:space="preserve">    一、定义</w:t>
      </w:r>
    </w:p>
    <w:p>
      <w:pPr>
        <w:autoSpaceDE w:val="0"/>
        <w:autoSpaceDN w:val="0"/>
        <w:adjustRightInd w:val="0"/>
        <w:snapToGrid w:val="0"/>
        <w:spacing w:line="600" w:lineRule="exact"/>
        <w:ind w:right="32" w:firstLine="498" w:firstLineChars="178"/>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1. “合同”系指甲乙双方签署的、合同格式中载明的甲乙双方所达成的协议，包括所有的附件、附录和构成合同的所有文件；</w:t>
      </w:r>
    </w:p>
    <w:p>
      <w:pPr>
        <w:autoSpaceDE w:val="0"/>
        <w:autoSpaceDN w:val="0"/>
        <w:adjustRightInd w:val="0"/>
        <w:snapToGrid w:val="0"/>
        <w:spacing w:line="600" w:lineRule="exact"/>
        <w:ind w:right="32" w:firstLine="498" w:firstLineChars="178"/>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2. “合同价”系指根据合同规定，乙方在完全履行合同义务后甲方应付给的价格；</w:t>
      </w:r>
    </w:p>
    <w:p>
      <w:pPr>
        <w:autoSpaceDE w:val="0"/>
        <w:autoSpaceDN w:val="0"/>
        <w:adjustRightInd w:val="0"/>
        <w:snapToGrid w:val="0"/>
        <w:spacing w:line="600" w:lineRule="exact"/>
        <w:ind w:right="32" w:firstLine="498" w:firstLineChars="178"/>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3. “货物”系指乙方根据合同规定须向甲方提供的×××××</w:t>
      </w:r>
      <w:r>
        <w:rPr>
          <w:rFonts w:hint="eastAsia" w:ascii="宋体" w:hAnsi="宋体" w:cs="宋体"/>
          <w:color w:val="auto"/>
          <w:kern w:val="0"/>
          <w:sz w:val="28"/>
          <w:szCs w:val="28"/>
          <w:lang w:val="en-US" w:eastAsia="zh-CN" w:bidi="ar"/>
        </w:rPr>
        <w:t>（项目标的）</w:t>
      </w:r>
      <w:r>
        <w:rPr>
          <w:rFonts w:hint="eastAsia" w:ascii="宋体" w:hAnsi="宋体" w:eastAsia="宋体" w:cs="宋体"/>
          <w:color w:val="auto"/>
          <w:kern w:val="0"/>
          <w:sz w:val="28"/>
          <w:szCs w:val="28"/>
          <w:lang w:val="en-US" w:eastAsia="zh-CN" w:bidi="ar"/>
        </w:rPr>
        <w:t>和相关技术资料及其他材料；</w:t>
      </w:r>
    </w:p>
    <w:p>
      <w:pPr>
        <w:autoSpaceDE w:val="0"/>
        <w:autoSpaceDN w:val="0"/>
        <w:adjustRightInd w:val="0"/>
        <w:snapToGrid w:val="0"/>
        <w:spacing w:line="600" w:lineRule="exact"/>
        <w:ind w:right="32" w:firstLine="498" w:firstLineChars="178"/>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4. “服务”系指根据合同规定乙方承担与供货有关的辅助服务，如运输、保险以及其它的服务，如安装、调试、提供技术援助和其他类似的义务；</w:t>
      </w:r>
    </w:p>
    <w:p>
      <w:pPr>
        <w:jc w:val="left"/>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 xml:space="preserve">    二、合同货物的名称及技术要求：</w:t>
      </w:r>
    </w:p>
    <w:p>
      <w:pPr>
        <w:jc w:val="left"/>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 xml:space="preserve">    此处粘贴中标供应商报价单中的清单。</w:t>
      </w:r>
    </w:p>
    <w:p>
      <w:pPr>
        <w:jc w:val="left"/>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 xml:space="preserve">    三、合同金额及付款方式：</w:t>
      </w:r>
    </w:p>
    <w:p>
      <w:pPr>
        <w:ind w:firstLine="565" w:firstLineChars="202"/>
        <w:jc w:val="left"/>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1.合同货款总额：        元整，￥:      元</w:t>
      </w:r>
    </w:p>
    <w:p>
      <w:pPr>
        <w:widowControl/>
        <w:ind w:firstLine="560" w:firstLineChars="200"/>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2.付款方式：此处粘贴询价公告对应内容。</w:t>
      </w:r>
    </w:p>
    <w:p>
      <w:pPr>
        <w:widowControl/>
        <w:ind w:firstLine="560" w:firstLineChars="200"/>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四、交货方式：</w:t>
      </w:r>
    </w:p>
    <w:p>
      <w:pPr>
        <w:ind w:firstLine="560" w:firstLineChars="200"/>
        <w:jc w:val="left"/>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1.交货期限：此处粘贴询价公告对应内容。</w:t>
      </w:r>
    </w:p>
    <w:p>
      <w:pPr>
        <w:ind w:firstLine="560" w:firstLineChars="200"/>
        <w:jc w:val="left"/>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2.交货地点：赤峰学院指定地点。</w:t>
      </w:r>
    </w:p>
    <w:p>
      <w:pPr>
        <w:ind w:firstLine="638" w:firstLineChars="228"/>
        <w:jc w:val="left"/>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五、质量标准和验收：</w:t>
      </w:r>
    </w:p>
    <w:p>
      <w:pPr>
        <w:ind w:firstLine="638" w:firstLineChars="228"/>
        <w:jc w:val="left"/>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质保期：此处粘贴询价公告对应内容（若中标供应商承诺质保期更长，则按长的填写）</w:t>
      </w:r>
    </w:p>
    <w:p>
      <w:pPr>
        <w:widowControl/>
        <w:ind w:firstLine="565" w:firstLineChars="202"/>
        <w:jc w:val="left"/>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1.乙方应保证完全符合合同规定的质量、规格和性能的要求。</w:t>
      </w:r>
    </w:p>
    <w:p>
      <w:pPr>
        <w:widowControl/>
        <w:ind w:firstLine="565" w:firstLineChars="202"/>
        <w:jc w:val="left"/>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2.乙方承诺提供给甲方的××××××（项目标的）的技术规范应与合同清单质量标准的“规定”相一致。</w:t>
      </w:r>
    </w:p>
    <w:p>
      <w:pPr>
        <w:widowControl/>
        <w:ind w:firstLine="565" w:firstLineChars="202"/>
        <w:jc w:val="left"/>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3.甲方对合同中×××××（项目标的）的数量、质量及效果等进行检验，检验应依据本合同中的有关规定进行。</w:t>
      </w:r>
    </w:p>
    <w:p>
      <w:pPr>
        <w:widowControl/>
        <w:ind w:firstLine="565" w:firstLineChars="202"/>
        <w:jc w:val="left"/>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检验时发现供应数量、质量不符等，甲方不予验收；相关费用由乙方承担。</w:t>
      </w:r>
    </w:p>
    <w:p>
      <w:pPr>
        <w:numPr>
          <w:ilvl w:val="0"/>
          <w:numId w:val="2"/>
        </w:numPr>
        <w:spacing w:line="360" w:lineRule="auto"/>
        <w:ind w:left="420" w:leftChars="200"/>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××××（项目标的）交货验收合格，双方签署《验收书》。</w:t>
      </w:r>
      <w:r>
        <w:rPr>
          <w:rFonts w:hint="eastAsia" w:ascii="宋体" w:hAnsi="宋体" w:eastAsia="宋体" w:cs="宋体"/>
          <w:color w:val="auto"/>
          <w:kern w:val="0"/>
          <w:sz w:val="28"/>
          <w:szCs w:val="28"/>
          <w:lang w:val="en-US" w:eastAsia="zh-CN" w:bidi="ar"/>
        </w:rPr>
        <w:br w:type="textWrapping"/>
      </w:r>
      <w:r>
        <w:rPr>
          <w:rFonts w:hint="eastAsia" w:ascii="宋体" w:hAnsi="宋体" w:eastAsia="宋体" w:cs="宋体"/>
          <w:color w:val="auto"/>
          <w:kern w:val="0"/>
          <w:sz w:val="28"/>
          <w:szCs w:val="28"/>
          <w:lang w:val="en-US" w:eastAsia="zh-CN" w:bidi="ar"/>
        </w:rPr>
        <w:t>6.本合同××××（项目标的）质保期内提供全免费保修、维护。</w:t>
      </w:r>
    </w:p>
    <w:p>
      <w:pPr>
        <w:numPr>
          <w:ilvl w:val="0"/>
          <w:numId w:val="0"/>
        </w:numPr>
        <w:spacing w:line="360" w:lineRule="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质保期满维修维护只收取配件成本费。</w:t>
      </w:r>
    </w:p>
    <w:p>
      <w:pPr>
        <w:widowControl/>
        <w:ind w:firstLine="280" w:firstLineChars="100"/>
        <w:jc w:val="left"/>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7.由于非甲方原因造成××××（项目标的）不能正常使用，乙方负责甲方的相关损失。</w:t>
      </w:r>
    </w:p>
    <w:p>
      <w:pPr>
        <w:ind w:firstLine="638" w:firstLineChars="228"/>
        <w:jc w:val="left"/>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六、违约责任</w:t>
      </w:r>
    </w:p>
    <w:p>
      <w:pPr>
        <w:widowControl/>
        <w:ind w:firstLine="700" w:firstLineChars="250"/>
        <w:jc w:val="left"/>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1.如果乙方未按照合同规定的要求交付××××××（项目标的）时，乙方应承担相应违约责任，甲方有权终止合同，乙方向甲方支付合同总金额的百分之十的违约金。</w:t>
      </w:r>
    </w:p>
    <w:p>
      <w:pPr>
        <w:ind w:firstLine="638" w:firstLineChars="228"/>
        <w:jc w:val="left"/>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2.延期付款的违约责任</w:t>
      </w:r>
    </w:p>
    <w:p>
      <w:pPr>
        <w:ind w:firstLine="638" w:firstLineChars="228"/>
        <w:jc w:val="left"/>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如甲方未按照合同约定时间或金额支付合同价款，每逾期一日，甲方应按照逾期未支付金额的银行同期贷款利率的两倍计算，向乙方支付逾期付款违约金，但不超过合同总金额的百分之十。</w:t>
      </w:r>
    </w:p>
    <w:p>
      <w:pPr>
        <w:ind w:firstLine="638" w:firstLineChars="228"/>
        <w:jc w:val="left"/>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七、不可抗力</w:t>
      </w:r>
    </w:p>
    <w:p>
      <w:pPr>
        <w:ind w:firstLine="638" w:firstLineChars="228"/>
        <w:jc w:val="left"/>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1.不可抗力指不能预见、不能避免并不能克服的客观情况。</w:t>
      </w:r>
    </w:p>
    <w:p>
      <w:pPr>
        <w:ind w:firstLine="638" w:firstLineChars="228"/>
        <w:jc w:val="left"/>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2.因不可抗力不能履行合同的，根据不可抗力的影响，部分或者全部免除责任，但法律另有规定的除外。</w:t>
      </w:r>
    </w:p>
    <w:p>
      <w:pPr>
        <w:ind w:firstLine="638" w:firstLineChars="228"/>
        <w:jc w:val="left"/>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3.一方因不可抗力不能履行合同的，应当及时通知对方，以减轻可能给对方造成的损失，并应当在合理期限内提供证明。</w:t>
      </w:r>
    </w:p>
    <w:p>
      <w:pPr>
        <w:ind w:firstLine="638" w:firstLineChars="228"/>
        <w:jc w:val="left"/>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八、争议解决</w:t>
      </w:r>
    </w:p>
    <w:p>
      <w:pPr>
        <w:ind w:firstLine="638" w:firstLineChars="228"/>
        <w:jc w:val="left"/>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1.履行合同过程中发生争议，双方应通过友好协商解决；经协商不能达成协议时，则双方同意在甲方住所地有管辖权的人民法院提起诉讼。</w:t>
      </w:r>
    </w:p>
    <w:p>
      <w:pPr>
        <w:ind w:firstLine="638" w:firstLineChars="228"/>
        <w:jc w:val="left"/>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2.在诉讼期间，除了必须在诉讼过程中进行解决的那部分问题以外，合同其余部分应继续履行。</w:t>
      </w:r>
    </w:p>
    <w:p>
      <w:pPr>
        <w:spacing w:line="520" w:lineRule="exact"/>
        <w:ind w:firstLine="638" w:firstLineChars="228"/>
        <w:jc w:val="left"/>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九、合同补充、修改或变更</w:t>
      </w:r>
    </w:p>
    <w:p>
      <w:pPr>
        <w:ind w:firstLine="638" w:firstLineChars="228"/>
        <w:jc w:val="left"/>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1.双方协商一致，可以依法对本合同进行补充、修改或变更。</w:t>
      </w:r>
    </w:p>
    <w:p>
      <w:pPr>
        <w:ind w:firstLine="638" w:firstLineChars="228"/>
        <w:jc w:val="left"/>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2.对本合同的任何补充、修改或变更必须以书面形式进行。</w:t>
      </w:r>
    </w:p>
    <w:p>
      <w:pPr>
        <w:ind w:firstLine="638" w:firstLineChars="228"/>
        <w:jc w:val="left"/>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3.双方签订的补充协议以及修改或变更的条款与本合同具有同等法律效力。</w:t>
      </w:r>
    </w:p>
    <w:p>
      <w:pPr>
        <w:spacing w:line="520" w:lineRule="exact"/>
        <w:ind w:firstLine="638" w:firstLineChars="228"/>
        <w:jc w:val="left"/>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十、合同的生效</w:t>
      </w:r>
    </w:p>
    <w:p>
      <w:pPr>
        <w:ind w:firstLine="638" w:firstLineChars="228"/>
        <w:jc w:val="left"/>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合同签署的所有内容必须符合本次采购项目最终成交结果，甲、乙双方协商一致签字盖章后生效。</w:t>
      </w:r>
    </w:p>
    <w:p>
      <w:pPr>
        <w:spacing w:line="520" w:lineRule="exact"/>
        <w:ind w:firstLine="638" w:firstLineChars="228"/>
        <w:jc w:val="left"/>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十一、其它约定事项</w:t>
      </w:r>
    </w:p>
    <w:p>
      <w:pPr>
        <w:ind w:firstLine="638" w:firstLineChars="228"/>
        <w:jc w:val="left"/>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1.本合同涉及的询价公告、乙方的报价单和附件均为本合同不可分割的组成部分，具有相同的法律效力，甲乙双方各执一份，并送赤峰学院党政办一份备案。</w:t>
      </w:r>
    </w:p>
    <w:p>
      <w:pPr>
        <w:ind w:firstLine="638" w:firstLineChars="228"/>
        <w:jc w:val="left"/>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2.一方当事人未经另一方书面同意，不得将其在合同下的权利和义务全部或部分转让给第三人。</w:t>
      </w:r>
    </w:p>
    <w:p>
      <w:pPr>
        <w:ind w:firstLine="638" w:firstLineChars="228"/>
        <w:jc w:val="left"/>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 xml:space="preserve">甲方：赤峰学院（盖章） </w:t>
      </w:r>
    </w:p>
    <w:p>
      <w:pPr>
        <w:ind w:firstLine="638" w:firstLineChars="228"/>
        <w:jc w:val="left"/>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 xml:space="preserve">法定代表人：（签字）       </w:t>
      </w:r>
    </w:p>
    <w:p>
      <w:pPr>
        <w:ind w:firstLine="638" w:firstLineChars="228"/>
        <w:jc w:val="left"/>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 xml:space="preserve">项目单位负责人：（签字）        </w:t>
      </w:r>
    </w:p>
    <w:p>
      <w:pPr>
        <w:ind w:firstLine="638" w:firstLineChars="228"/>
        <w:jc w:val="left"/>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联系电话：                    单位地址：</w:t>
      </w:r>
    </w:p>
    <w:p>
      <w:pPr>
        <w:ind w:firstLine="5955" w:firstLineChars="2127"/>
        <w:jc w:val="left"/>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年     月     日</w:t>
      </w:r>
    </w:p>
    <w:p>
      <w:pPr>
        <w:ind w:firstLine="638" w:firstLineChars="228"/>
        <w:jc w:val="left"/>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 xml:space="preserve">乙方： XXXXXXXXXX（盖章）         </w:t>
      </w:r>
    </w:p>
    <w:p>
      <w:pPr>
        <w:ind w:firstLine="638" w:firstLineChars="228"/>
        <w:jc w:val="left"/>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 xml:space="preserve">法定代表人：（签字）          开户银行：   </w:t>
      </w:r>
    </w:p>
    <w:p>
      <w:pPr>
        <w:ind w:firstLine="638" w:firstLineChars="228"/>
        <w:jc w:val="left"/>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委托代理人：（签字）          开户账号：</w:t>
      </w:r>
    </w:p>
    <w:p>
      <w:pPr>
        <w:ind w:firstLine="638" w:firstLineChars="228"/>
        <w:jc w:val="left"/>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联系电话：                     单位地址：</w:t>
      </w:r>
    </w:p>
    <w:p>
      <w:pPr>
        <w:spacing w:line="520" w:lineRule="exact"/>
        <w:jc w:val="right"/>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 xml:space="preserve">                                          年     月     日    </w:t>
      </w:r>
    </w:p>
    <w:p>
      <w:pPr>
        <w:jc w:val="center"/>
        <w:rPr>
          <w:rFonts w:hint="eastAsia" w:ascii="微软雅黑" w:hAnsi="微软雅黑" w:eastAsia="微软雅黑" w:cs="微软雅黑"/>
          <w:color w:val="auto"/>
          <w:kern w:val="0"/>
          <w:sz w:val="32"/>
          <w:szCs w:val="32"/>
          <w:lang w:val="en-US" w:eastAsia="zh-CN" w:bidi="ar"/>
        </w:rPr>
      </w:pPr>
      <w:r>
        <w:rPr>
          <w:rFonts w:hint="eastAsia" w:ascii="微软雅黑" w:hAnsi="微软雅黑" w:eastAsia="微软雅黑" w:cs="微软雅黑"/>
          <w:color w:val="auto"/>
          <w:kern w:val="0"/>
          <w:sz w:val="32"/>
          <w:szCs w:val="32"/>
          <w:lang w:val="en-US" w:eastAsia="zh-CN" w:bidi="ar"/>
        </w:rPr>
        <w:t>附  件</w:t>
      </w:r>
    </w:p>
    <w:p>
      <w:pPr>
        <w:rPr>
          <w:rFonts w:hint="eastAsia" w:ascii="微软雅黑" w:hAnsi="微软雅黑" w:eastAsia="微软雅黑" w:cs="微软雅黑"/>
          <w:color w:val="auto"/>
          <w:kern w:val="0"/>
          <w:sz w:val="28"/>
          <w:szCs w:val="28"/>
          <w:lang w:val="en-US" w:eastAsia="zh-CN" w:bidi="ar"/>
        </w:rPr>
      </w:pPr>
      <w:r>
        <w:rPr>
          <w:rFonts w:hint="eastAsia" w:ascii="微软雅黑" w:hAnsi="微软雅黑" w:eastAsia="微软雅黑" w:cs="微软雅黑"/>
          <w:color w:val="auto"/>
          <w:kern w:val="0"/>
          <w:sz w:val="28"/>
          <w:szCs w:val="28"/>
          <w:lang w:val="en-US" w:eastAsia="zh-CN" w:bidi="ar"/>
        </w:rPr>
        <w:t>一、</w:t>
      </w:r>
    </w:p>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微软雅黑" w:hAnsi="微软雅黑" w:eastAsia="微软雅黑" w:cs="微软雅黑"/>
          <w:color w:val="auto"/>
          <w:kern w:val="0"/>
          <w:sz w:val="32"/>
          <w:szCs w:val="32"/>
          <w:lang w:val="en-US" w:eastAsia="zh-CN" w:bidi="ar"/>
        </w:rPr>
      </w:pPr>
      <w:r>
        <w:rPr>
          <w:rFonts w:hint="eastAsia" w:ascii="微软雅黑" w:hAnsi="微软雅黑" w:eastAsia="微软雅黑" w:cs="微软雅黑"/>
          <w:color w:val="auto"/>
          <w:kern w:val="0"/>
          <w:sz w:val="32"/>
          <w:szCs w:val="32"/>
          <w:lang w:val="en-US" w:eastAsia="zh-CN" w:bidi="ar"/>
        </w:rPr>
        <w:t>授权委托书</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微软雅黑" w:hAnsi="微软雅黑" w:eastAsia="微软雅黑" w:cs="微软雅黑"/>
          <w:color w:val="auto"/>
          <w:kern w:val="0"/>
          <w:sz w:val="28"/>
          <w:szCs w:val="28"/>
          <w:lang w:val="en-US" w:eastAsia="zh-CN" w:bidi="ar"/>
        </w:rPr>
      </w:pPr>
      <w:r>
        <w:rPr>
          <w:rFonts w:hint="eastAsia" w:ascii="微软雅黑" w:hAnsi="微软雅黑" w:eastAsia="微软雅黑" w:cs="微软雅黑"/>
          <w:color w:val="auto"/>
          <w:kern w:val="0"/>
          <w:sz w:val="28"/>
          <w:szCs w:val="28"/>
          <w:lang w:val="en-US" w:eastAsia="zh-CN" w:bidi="ar"/>
        </w:rPr>
        <w:t>赤峰学院：</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微软雅黑" w:hAnsi="微软雅黑" w:eastAsia="微软雅黑" w:cs="微软雅黑"/>
          <w:color w:val="auto"/>
          <w:kern w:val="0"/>
          <w:sz w:val="28"/>
          <w:szCs w:val="28"/>
          <w:lang w:val="en-US" w:eastAsia="zh-CN" w:bidi="ar"/>
        </w:rPr>
      </w:pPr>
      <w:r>
        <w:rPr>
          <w:rFonts w:hint="eastAsia" w:ascii="微软雅黑" w:hAnsi="微软雅黑" w:eastAsia="微软雅黑" w:cs="微软雅黑"/>
          <w:color w:val="auto"/>
          <w:kern w:val="0"/>
          <w:sz w:val="28"/>
          <w:szCs w:val="28"/>
          <w:lang w:val="en-US" w:eastAsia="zh-CN" w:bidi="ar"/>
        </w:rPr>
        <w:t xml:space="preserve">    兹授权我单位      （姓名）作为参加贵单位XXXX（项目单位名称）组织的×××××（项目名称）询价采购活动（项目编号：XXX）的委托代理人，委托代理人全权代表我单位处理本次询价中的有关事务，并签署全部有关文件、协议及合同，我单位对委托代理人签署内容负全部责任。</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微软雅黑" w:hAnsi="微软雅黑" w:eastAsia="微软雅黑" w:cs="微软雅黑"/>
          <w:color w:val="auto"/>
          <w:kern w:val="0"/>
          <w:sz w:val="28"/>
          <w:szCs w:val="28"/>
          <w:lang w:val="en-US" w:eastAsia="zh-CN" w:bidi="ar"/>
        </w:rPr>
      </w:pPr>
      <w:r>
        <w:rPr>
          <w:rFonts w:ascii="微软雅黑" w:hAnsi="微软雅黑" w:eastAsia="微软雅黑" w:cs="微软雅黑"/>
          <w:color w:val="auto"/>
          <w:kern w:val="0"/>
          <w:sz w:val="28"/>
          <w:szCs w:val="28"/>
          <w:lang w:val="en-US" w:eastAsia="zh-CN" w:bidi="ar"/>
        </w:rPr>
        <w:fldChar w:fldCharType="begin"/>
      </w:r>
      <w:r>
        <w:rPr>
          <w:color w:val="auto"/>
        </w:rPr>
        <w:instrText xml:space="preserve"> INCLUDEPICTURE "D:\\Backup\\Documents\\Local%20Settings\\Temp\\ksohtml6992\\wps1.png" \* MERGEFORMAT </w:instrText>
      </w:r>
      <w:r>
        <w:rPr>
          <w:rFonts w:ascii="微软雅黑" w:hAnsi="微软雅黑" w:eastAsia="微软雅黑" w:cs="微软雅黑"/>
          <w:color w:val="auto"/>
          <w:kern w:val="0"/>
          <w:sz w:val="28"/>
          <w:szCs w:val="28"/>
          <w:lang w:val="en-US" w:eastAsia="zh-CN" w:bidi="ar"/>
        </w:rPr>
        <w:fldChar w:fldCharType="separate"/>
      </w:r>
      <w:r>
        <w:rPr>
          <w:rFonts w:ascii="微软雅黑" w:hAnsi="微软雅黑" w:eastAsia="微软雅黑" w:cs="微软雅黑"/>
          <w:color w:val="auto"/>
          <w:kern w:val="0"/>
          <w:sz w:val="28"/>
          <w:szCs w:val="28"/>
          <w:lang w:val="en-US" w:eastAsia="zh-CN" w:bidi="ar"/>
        </w:rPr>
        <w:drawing>
          <wp:inline distT="0" distB="0" distL="114300" distR="114300">
            <wp:extent cx="2637790" cy="1914525"/>
            <wp:effectExtent l="0" t="0" r="10160" b="9525"/>
            <wp:docPr id="1" name="图片 1"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ps1"/>
                    <pic:cNvPicPr>
                      <a:picLocks noChangeAspect="1"/>
                    </pic:cNvPicPr>
                  </pic:nvPicPr>
                  <pic:blipFill>
                    <a:blip r:embed="rId4"/>
                    <a:stretch>
                      <a:fillRect/>
                    </a:stretch>
                  </pic:blipFill>
                  <pic:spPr>
                    <a:xfrm>
                      <a:off x="0" y="0"/>
                      <a:ext cx="2637790" cy="1914525"/>
                    </a:xfrm>
                    <a:prstGeom prst="rect">
                      <a:avLst/>
                    </a:prstGeom>
                    <a:noFill/>
                    <a:ln>
                      <a:noFill/>
                    </a:ln>
                  </pic:spPr>
                </pic:pic>
              </a:graphicData>
            </a:graphic>
          </wp:inline>
        </w:drawing>
      </w:r>
      <w:r>
        <w:rPr>
          <w:rFonts w:ascii="微软雅黑" w:hAnsi="微软雅黑" w:eastAsia="微软雅黑" w:cs="微软雅黑"/>
          <w:color w:val="auto"/>
          <w:kern w:val="0"/>
          <w:sz w:val="28"/>
          <w:szCs w:val="28"/>
          <w:lang w:val="en-US" w:eastAsia="zh-CN" w:bidi="ar"/>
        </w:rPr>
        <w:fldChar w:fldCharType="end"/>
      </w:r>
      <w:r>
        <w:rPr>
          <w:rFonts w:ascii="微软雅黑" w:hAnsi="微软雅黑" w:eastAsia="微软雅黑" w:cs="微软雅黑"/>
          <w:color w:val="auto"/>
          <w:kern w:val="0"/>
          <w:sz w:val="28"/>
          <w:szCs w:val="28"/>
          <w:lang w:val="en-US" w:eastAsia="zh-CN" w:bidi="ar"/>
        </w:rPr>
        <w:fldChar w:fldCharType="begin"/>
      </w:r>
      <w:r>
        <w:rPr>
          <w:color w:val="auto"/>
        </w:rPr>
        <w:instrText xml:space="preserve"> INCLUDEPICTURE "D:\\Backup\\Documents\\Local%20Settings\\Temp\\ksohtml6992\\wps2.png" \* MERGEFORMAT </w:instrText>
      </w:r>
      <w:r>
        <w:rPr>
          <w:rFonts w:ascii="微软雅黑" w:hAnsi="微软雅黑" w:eastAsia="微软雅黑" w:cs="微软雅黑"/>
          <w:color w:val="auto"/>
          <w:kern w:val="0"/>
          <w:sz w:val="28"/>
          <w:szCs w:val="28"/>
          <w:lang w:val="en-US" w:eastAsia="zh-CN" w:bidi="ar"/>
        </w:rPr>
        <w:fldChar w:fldCharType="separate"/>
      </w:r>
      <w:r>
        <w:rPr>
          <w:rFonts w:ascii="微软雅黑" w:hAnsi="微软雅黑" w:eastAsia="微软雅黑" w:cs="微软雅黑"/>
          <w:color w:val="auto"/>
          <w:kern w:val="0"/>
          <w:sz w:val="28"/>
          <w:szCs w:val="28"/>
          <w:lang w:val="en-US" w:eastAsia="zh-CN" w:bidi="ar"/>
        </w:rPr>
        <w:drawing>
          <wp:inline distT="0" distB="0" distL="114300" distR="114300">
            <wp:extent cx="2524125" cy="1914525"/>
            <wp:effectExtent l="0" t="0" r="9525" b="9525"/>
            <wp:docPr id="2" name="图片 2" descr="wp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wps2"/>
                    <pic:cNvPicPr>
                      <a:picLocks noChangeAspect="1"/>
                    </pic:cNvPicPr>
                  </pic:nvPicPr>
                  <pic:blipFill>
                    <a:blip r:embed="rId5"/>
                    <a:stretch>
                      <a:fillRect/>
                    </a:stretch>
                  </pic:blipFill>
                  <pic:spPr>
                    <a:xfrm>
                      <a:off x="0" y="0"/>
                      <a:ext cx="2524125" cy="1914525"/>
                    </a:xfrm>
                    <a:prstGeom prst="rect">
                      <a:avLst/>
                    </a:prstGeom>
                    <a:noFill/>
                    <a:ln>
                      <a:noFill/>
                    </a:ln>
                  </pic:spPr>
                </pic:pic>
              </a:graphicData>
            </a:graphic>
          </wp:inline>
        </w:drawing>
      </w:r>
      <w:r>
        <w:rPr>
          <w:rFonts w:ascii="微软雅黑" w:hAnsi="微软雅黑" w:eastAsia="微软雅黑" w:cs="微软雅黑"/>
          <w:color w:val="auto"/>
          <w:kern w:val="0"/>
          <w:sz w:val="28"/>
          <w:szCs w:val="28"/>
          <w:lang w:val="en-US" w:eastAsia="zh-CN" w:bidi="ar"/>
        </w:rPr>
        <w:fldChar w:fldCharType="end"/>
      </w:r>
      <w:r>
        <w:rPr>
          <w:rFonts w:hint="eastAsia" w:ascii="微软雅黑" w:hAnsi="微软雅黑" w:eastAsia="微软雅黑" w:cs="微软雅黑"/>
          <w:color w:val="auto"/>
          <w:kern w:val="0"/>
          <w:sz w:val="28"/>
          <w:szCs w:val="28"/>
          <w:lang w:val="en-US" w:eastAsia="zh-CN" w:bidi="ar"/>
        </w:rPr>
        <w:t xml:space="preserve">    本授权书于盖章签字后生效，在贵单位收到撤消授权的书面通知以前，本授权书一直有效。被授权人签署的所有文件不因授权的撤消而失效。委托代理人无转委托权。</w:t>
      </w:r>
    </w:p>
    <w:p>
      <w:pPr>
        <w:rPr>
          <w:rFonts w:hint="eastAsia" w:ascii="微软雅黑" w:hAnsi="微软雅黑" w:eastAsia="微软雅黑" w:cs="微软雅黑"/>
          <w:color w:val="auto"/>
          <w:kern w:val="0"/>
          <w:sz w:val="28"/>
          <w:szCs w:val="28"/>
          <w:lang w:val="en-US" w:eastAsia="zh-CN" w:bidi="ar"/>
        </w:rPr>
      </w:pPr>
      <w:r>
        <w:rPr>
          <w:rFonts w:hint="eastAsia" w:ascii="微软雅黑" w:hAnsi="微软雅黑" w:eastAsia="微软雅黑" w:cs="微软雅黑"/>
          <w:color w:val="auto"/>
          <w:kern w:val="0"/>
          <w:sz w:val="28"/>
          <w:szCs w:val="28"/>
          <w:lang w:val="en-US" w:eastAsia="zh-CN" w:bidi="ar"/>
        </w:rPr>
        <w:t xml:space="preserve">    特此委托。</w:t>
      </w:r>
    </w:p>
    <w:p>
      <w:pPr>
        <w:rPr>
          <w:rFonts w:hint="eastAsia" w:ascii="微软雅黑" w:hAnsi="微软雅黑" w:eastAsia="微软雅黑" w:cs="微软雅黑"/>
          <w:color w:val="auto"/>
          <w:kern w:val="0"/>
          <w:sz w:val="28"/>
          <w:szCs w:val="28"/>
          <w:lang w:val="en-US" w:eastAsia="zh-CN" w:bidi="ar"/>
        </w:rPr>
      </w:pPr>
      <w:r>
        <w:rPr>
          <w:rFonts w:hint="eastAsia" w:ascii="微软雅黑" w:hAnsi="微软雅黑" w:eastAsia="微软雅黑" w:cs="微软雅黑"/>
          <w:color w:val="auto"/>
          <w:kern w:val="0"/>
          <w:sz w:val="28"/>
          <w:szCs w:val="28"/>
          <w:lang w:val="en-US" w:eastAsia="zh-CN" w:bidi="ar"/>
        </w:rPr>
        <w:t>供应商：  XXXXXXXXXXXX （加盖公章）</w:t>
      </w:r>
    </w:p>
    <w:p>
      <w:pPr>
        <w:rPr>
          <w:rFonts w:hint="eastAsia" w:ascii="微软雅黑" w:hAnsi="微软雅黑" w:eastAsia="微软雅黑" w:cs="微软雅黑"/>
          <w:color w:val="auto"/>
          <w:kern w:val="0"/>
          <w:sz w:val="28"/>
          <w:szCs w:val="28"/>
          <w:lang w:val="en-US" w:eastAsia="zh-CN" w:bidi="ar"/>
        </w:rPr>
      </w:pPr>
      <w:r>
        <w:rPr>
          <w:rFonts w:hint="eastAsia" w:ascii="微软雅黑" w:hAnsi="微软雅黑" w:eastAsia="微软雅黑" w:cs="微软雅黑"/>
          <w:color w:val="auto"/>
          <w:kern w:val="0"/>
          <w:sz w:val="28"/>
          <w:szCs w:val="28"/>
          <w:lang w:val="en-US" w:eastAsia="zh-CN" w:bidi="ar"/>
        </w:rPr>
        <w:t>法定代表人：（签字）              委托代理人：（签字）</w:t>
      </w:r>
    </w:p>
    <w:p>
      <w:pPr>
        <w:spacing w:line="480" w:lineRule="exact"/>
        <w:jc w:val="left"/>
        <w:rPr>
          <w:rFonts w:hint="eastAsia" w:ascii="微软雅黑" w:hAnsi="微软雅黑" w:eastAsia="微软雅黑" w:cs="微软雅黑"/>
          <w:color w:val="auto"/>
          <w:kern w:val="0"/>
          <w:sz w:val="28"/>
          <w:szCs w:val="28"/>
          <w:lang w:val="en-US" w:eastAsia="zh-CN" w:bidi="ar"/>
        </w:rPr>
      </w:pPr>
      <w:r>
        <w:rPr>
          <w:rFonts w:hint="eastAsia" w:ascii="微软雅黑" w:hAnsi="微软雅黑" w:eastAsia="微软雅黑" w:cs="微软雅黑"/>
          <w:color w:val="auto"/>
          <w:kern w:val="0"/>
          <w:sz w:val="28"/>
          <w:szCs w:val="28"/>
          <w:lang w:val="en-US" w:eastAsia="zh-CN" w:bidi="ar"/>
        </w:rPr>
        <w:t xml:space="preserve">                               年   月   日</w:t>
      </w:r>
    </w:p>
    <w:p>
      <w:pPr>
        <w:rPr>
          <w:rFonts w:hint="eastAsia" w:ascii="微软雅黑" w:hAnsi="微软雅黑" w:eastAsia="微软雅黑" w:cs="微软雅黑"/>
          <w:color w:val="auto"/>
          <w:kern w:val="0"/>
          <w:sz w:val="28"/>
          <w:szCs w:val="28"/>
          <w:lang w:val="en-US" w:eastAsia="zh-CN" w:bidi="ar"/>
        </w:rPr>
      </w:pPr>
      <w:r>
        <w:rPr>
          <w:rFonts w:hint="eastAsia" w:ascii="微软雅黑" w:hAnsi="微软雅黑" w:eastAsia="微软雅黑" w:cs="微软雅黑"/>
          <w:color w:val="auto"/>
          <w:kern w:val="0"/>
          <w:sz w:val="28"/>
          <w:szCs w:val="28"/>
          <w:lang w:val="en-US" w:eastAsia="zh-CN" w:bidi="ar"/>
        </w:rPr>
        <w:t>二、询价报价表</w:t>
      </w:r>
    </w:p>
    <w:p>
      <w:pPr>
        <w:jc w:val="center"/>
        <w:rPr>
          <w:rFonts w:ascii="微软雅黑" w:hAnsi="微软雅黑" w:eastAsia="微软雅黑" w:cs="微软雅黑"/>
          <w:color w:val="auto"/>
          <w:kern w:val="0"/>
          <w:sz w:val="28"/>
          <w:szCs w:val="28"/>
          <w:lang w:val="en-US" w:eastAsia="zh-CN" w:bidi="ar"/>
        </w:rPr>
      </w:pPr>
      <w:r>
        <w:rPr>
          <w:rFonts w:hint="eastAsia" w:ascii="微软雅黑" w:hAnsi="微软雅黑" w:eastAsia="微软雅黑" w:cs="微软雅黑"/>
          <w:color w:val="auto"/>
          <w:kern w:val="0"/>
          <w:sz w:val="28"/>
          <w:szCs w:val="28"/>
          <w:lang w:val="en-US" w:eastAsia="zh-CN" w:bidi="ar"/>
        </w:rPr>
        <w:t>赤峰学院××××（项目单位名称+项目名称）询价报价表</w:t>
      </w:r>
    </w:p>
    <w:p>
      <w:pPr>
        <w:rPr>
          <w:rFonts w:ascii="微软雅黑" w:hAnsi="微软雅黑" w:eastAsia="微软雅黑" w:cs="微软雅黑"/>
          <w:color w:val="auto"/>
          <w:kern w:val="0"/>
          <w:sz w:val="28"/>
          <w:szCs w:val="28"/>
          <w:lang w:val="en-US" w:eastAsia="zh-CN" w:bidi="ar"/>
        </w:rPr>
      </w:pPr>
      <w:r>
        <w:rPr>
          <w:rFonts w:hint="eastAsia" w:ascii="微软雅黑" w:hAnsi="微软雅黑" w:eastAsia="微软雅黑" w:cs="微软雅黑"/>
          <w:color w:val="auto"/>
          <w:kern w:val="0"/>
          <w:sz w:val="28"/>
          <w:szCs w:val="28"/>
          <w:lang w:val="en-US" w:eastAsia="zh-CN" w:bidi="ar"/>
        </w:rPr>
        <w:t xml:space="preserve"> </w:t>
      </w:r>
      <w:r>
        <w:rPr>
          <w:rFonts w:hint="eastAsia"/>
          <w:color w:val="auto"/>
          <w:sz w:val="30"/>
          <w:szCs w:val="30"/>
          <w:lang w:val="en-US" w:eastAsia="zh-CN"/>
        </w:rPr>
        <w:t>项目编号：项目单位名称（首字母）+年度+序号（如：001,002,003</w:t>
      </w:r>
      <w:r>
        <w:rPr>
          <w:rFonts w:hint="default" w:ascii="Arial" w:hAnsi="Arial" w:cs="Arial"/>
          <w:color w:val="auto"/>
          <w:sz w:val="30"/>
          <w:szCs w:val="30"/>
          <w:lang w:val="en-US" w:eastAsia="zh-CN"/>
        </w:rPr>
        <w:t>…</w:t>
      </w:r>
      <w:r>
        <w:rPr>
          <w:rFonts w:hint="eastAsia"/>
          <w:color w:val="auto"/>
          <w:sz w:val="30"/>
          <w:szCs w:val="30"/>
          <w:lang w:val="en-US" w:eastAsia="zh-CN"/>
        </w:rPr>
        <w:t>）</w:t>
      </w:r>
    </w:p>
    <w:tbl>
      <w:tblPr>
        <w:tblStyle w:val="4"/>
        <w:tblW w:w="4994" w:type="pct"/>
        <w:jc w:val="center"/>
        <w:tblLayout w:type="autofit"/>
        <w:tblCellMar>
          <w:top w:w="0" w:type="dxa"/>
          <w:left w:w="0" w:type="dxa"/>
          <w:bottom w:w="0" w:type="dxa"/>
          <w:right w:w="0" w:type="dxa"/>
        </w:tblCellMar>
      </w:tblPr>
      <w:tblGrid>
        <w:gridCol w:w="506"/>
        <w:gridCol w:w="1270"/>
        <w:gridCol w:w="868"/>
        <w:gridCol w:w="1389"/>
        <w:gridCol w:w="894"/>
        <w:gridCol w:w="894"/>
        <w:gridCol w:w="894"/>
        <w:gridCol w:w="894"/>
        <w:gridCol w:w="903"/>
      </w:tblGrid>
      <w:tr>
        <w:tblPrEx>
          <w:tblCellMar>
            <w:top w:w="0" w:type="dxa"/>
            <w:left w:w="0" w:type="dxa"/>
            <w:bottom w:w="0" w:type="dxa"/>
            <w:right w:w="0" w:type="dxa"/>
          </w:tblCellMar>
        </w:tblPrEx>
        <w:trPr>
          <w:trHeight w:val="971" w:hRule="atLeast"/>
          <w:jc w:val="center"/>
        </w:trPr>
        <w:tc>
          <w:tcPr>
            <w:tcW w:w="297"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top"/>
          </w:tcPr>
          <w:p>
            <w:pPr>
              <w:jc w:val="center"/>
              <w:rPr>
                <w:rFonts w:ascii="微软雅黑" w:hAnsi="微软雅黑" w:eastAsia="微软雅黑" w:cs="微软雅黑"/>
                <w:color w:val="auto"/>
                <w:kern w:val="0"/>
                <w:sz w:val="28"/>
                <w:szCs w:val="28"/>
                <w:lang w:val="en-US" w:eastAsia="zh-CN" w:bidi="ar"/>
              </w:rPr>
            </w:pPr>
            <w:r>
              <w:rPr>
                <w:rFonts w:hint="eastAsia" w:ascii="微软雅黑" w:hAnsi="微软雅黑" w:eastAsia="微软雅黑" w:cs="微软雅黑"/>
                <w:color w:val="auto"/>
                <w:kern w:val="0"/>
                <w:sz w:val="28"/>
                <w:szCs w:val="28"/>
                <w:lang w:val="en-US" w:eastAsia="zh-CN" w:bidi="ar"/>
              </w:rPr>
              <w:t>序号</w:t>
            </w:r>
          </w:p>
        </w:tc>
        <w:tc>
          <w:tcPr>
            <w:tcW w:w="746"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top"/>
          </w:tcPr>
          <w:p>
            <w:pPr>
              <w:jc w:val="center"/>
              <w:rPr>
                <w:rFonts w:ascii="微软雅黑" w:hAnsi="微软雅黑" w:eastAsia="微软雅黑" w:cs="微软雅黑"/>
                <w:color w:val="auto"/>
                <w:kern w:val="0"/>
                <w:sz w:val="28"/>
                <w:szCs w:val="28"/>
                <w:lang w:val="en-US" w:eastAsia="zh-CN" w:bidi="ar"/>
              </w:rPr>
            </w:pPr>
            <w:r>
              <w:rPr>
                <w:rFonts w:hint="eastAsia" w:ascii="微软雅黑" w:hAnsi="微软雅黑" w:eastAsia="微软雅黑" w:cs="微软雅黑"/>
                <w:color w:val="auto"/>
                <w:kern w:val="0"/>
                <w:sz w:val="28"/>
                <w:szCs w:val="28"/>
                <w:lang w:val="en-US" w:eastAsia="zh-CN" w:bidi="ar"/>
              </w:rPr>
              <w:t>名  称</w:t>
            </w:r>
          </w:p>
        </w:tc>
        <w:tc>
          <w:tcPr>
            <w:tcW w:w="1326" w:type="pct"/>
            <w:gridSpan w:val="2"/>
            <w:tcBorders>
              <w:top w:val="single" w:color="auto" w:sz="8" w:space="0"/>
              <w:left w:val="single" w:color="auto" w:sz="8" w:space="0"/>
              <w:bottom w:val="single" w:color="auto" w:sz="8" w:space="0"/>
              <w:right w:val="single" w:color="auto" w:sz="4" w:space="0"/>
            </w:tcBorders>
            <w:noWrap w:val="0"/>
            <w:tcMar>
              <w:left w:w="108" w:type="dxa"/>
              <w:right w:w="108" w:type="dxa"/>
            </w:tcMar>
            <w:vAlign w:val="top"/>
          </w:tcPr>
          <w:p>
            <w:pPr>
              <w:jc w:val="center"/>
              <w:rPr>
                <w:rFonts w:ascii="微软雅黑" w:hAnsi="微软雅黑" w:eastAsia="微软雅黑" w:cs="微软雅黑"/>
                <w:color w:val="auto"/>
                <w:kern w:val="0"/>
                <w:sz w:val="28"/>
                <w:szCs w:val="28"/>
                <w:lang w:val="en-US" w:eastAsia="zh-CN" w:bidi="ar"/>
              </w:rPr>
            </w:pPr>
            <w:r>
              <w:rPr>
                <w:rFonts w:hint="eastAsia" w:ascii="微软雅黑" w:hAnsi="微软雅黑" w:eastAsia="微软雅黑" w:cs="微软雅黑"/>
                <w:color w:val="auto"/>
                <w:kern w:val="0"/>
                <w:sz w:val="28"/>
                <w:szCs w:val="28"/>
                <w:lang w:val="en-US" w:eastAsia="zh-CN" w:bidi="ar"/>
              </w:rPr>
              <w:t>服务要求</w:t>
            </w: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hint="eastAsia" w:ascii="微软雅黑" w:hAnsi="微软雅黑" w:eastAsia="微软雅黑" w:cs="微软雅黑"/>
                <w:color w:val="auto"/>
                <w:kern w:val="0"/>
                <w:sz w:val="28"/>
                <w:szCs w:val="28"/>
                <w:lang w:val="en-US" w:eastAsia="zh-CN" w:bidi="ar"/>
              </w:rPr>
            </w:pPr>
            <w:r>
              <w:rPr>
                <w:rFonts w:hint="eastAsia" w:ascii="微软雅黑" w:hAnsi="微软雅黑" w:eastAsia="微软雅黑" w:cs="微软雅黑"/>
                <w:color w:val="auto"/>
                <w:kern w:val="0"/>
                <w:sz w:val="28"/>
                <w:szCs w:val="28"/>
                <w:lang w:val="en-US" w:eastAsia="zh-CN" w:bidi="ar"/>
              </w:rPr>
              <w:t>数 量</w:t>
            </w: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hint="eastAsia" w:ascii="微软雅黑" w:hAnsi="微软雅黑" w:eastAsia="微软雅黑" w:cs="微软雅黑"/>
                <w:color w:val="auto"/>
                <w:kern w:val="0"/>
                <w:sz w:val="28"/>
                <w:szCs w:val="28"/>
                <w:lang w:val="en-US" w:eastAsia="zh-CN" w:bidi="ar"/>
              </w:rPr>
            </w:pPr>
            <w:r>
              <w:rPr>
                <w:rFonts w:hint="eastAsia" w:ascii="微软雅黑" w:hAnsi="微软雅黑" w:eastAsia="微软雅黑" w:cs="微软雅黑"/>
                <w:color w:val="auto"/>
                <w:kern w:val="0"/>
                <w:sz w:val="28"/>
                <w:szCs w:val="28"/>
                <w:lang w:val="en-US" w:eastAsia="zh-CN" w:bidi="ar"/>
              </w:rPr>
              <w:t>单 位</w:t>
            </w:r>
          </w:p>
        </w:tc>
        <w:tc>
          <w:tcPr>
            <w:tcW w:w="525" w:type="pct"/>
            <w:tcBorders>
              <w:top w:val="single" w:color="auto" w:sz="8" w:space="0"/>
              <w:left w:val="single" w:color="auto" w:sz="8" w:space="0"/>
              <w:bottom w:val="single" w:color="auto" w:sz="8" w:space="0"/>
              <w:right w:val="single" w:color="auto" w:sz="8" w:space="0"/>
            </w:tcBorders>
            <w:noWrap w:val="0"/>
            <w:vAlign w:val="top"/>
          </w:tcPr>
          <w:p>
            <w:pPr>
              <w:jc w:val="both"/>
              <w:rPr>
                <w:rFonts w:hint="eastAsia" w:ascii="微软雅黑" w:hAnsi="微软雅黑" w:eastAsia="微软雅黑" w:cs="微软雅黑"/>
                <w:color w:val="auto"/>
                <w:kern w:val="0"/>
                <w:sz w:val="28"/>
                <w:szCs w:val="28"/>
                <w:lang w:val="en-US" w:eastAsia="zh-CN" w:bidi="ar"/>
              </w:rPr>
            </w:pPr>
            <w:r>
              <w:rPr>
                <w:rFonts w:hint="eastAsia" w:ascii="微软雅黑" w:hAnsi="微软雅黑" w:eastAsia="微软雅黑" w:cs="微软雅黑"/>
                <w:color w:val="auto"/>
                <w:kern w:val="0"/>
                <w:sz w:val="28"/>
                <w:szCs w:val="28"/>
                <w:lang w:val="en-US" w:eastAsia="zh-CN" w:bidi="ar"/>
              </w:rPr>
              <w:t>单价（元）</w:t>
            </w: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auto"/>
                <w:kern w:val="0"/>
                <w:sz w:val="28"/>
                <w:szCs w:val="28"/>
                <w:lang w:val="en-US" w:eastAsia="zh-CN" w:bidi="ar"/>
              </w:rPr>
            </w:pPr>
            <w:r>
              <w:rPr>
                <w:rFonts w:hint="eastAsia" w:ascii="微软雅黑" w:hAnsi="微软雅黑" w:eastAsia="微软雅黑" w:cs="微软雅黑"/>
                <w:color w:val="auto"/>
                <w:kern w:val="0"/>
                <w:sz w:val="28"/>
                <w:szCs w:val="28"/>
                <w:lang w:val="en-US" w:eastAsia="zh-CN" w:bidi="ar"/>
              </w:rPr>
              <w:t>金 额（元）</w:t>
            </w:r>
          </w:p>
        </w:tc>
        <w:tc>
          <w:tcPr>
            <w:tcW w:w="529"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top"/>
          </w:tcPr>
          <w:p>
            <w:pPr>
              <w:jc w:val="center"/>
              <w:rPr>
                <w:rFonts w:ascii="微软雅黑" w:hAnsi="微软雅黑" w:eastAsia="微软雅黑" w:cs="微软雅黑"/>
                <w:color w:val="auto"/>
                <w:kern w:val="0"/>
                <w:sz w:val="28"/>
                <w:szCs w:val="28"/>
                <w:lang w:val="en-US" w:eastAsia="zh-CN" w:bidi="ar"/>
              </w:rPr>
            </w:pPr>
            <w:r>
              <w:rPr>
                <w:rFonts w:hint="eastAsia" w:ascii="微软雅黑" w:hAnsi="微软雅黑" w:eastAsia="微软雅黑" w:cs="微软雅黑"/>
                <w:color w:val="auto"/>
                <w:kern w:val="0"/>
                <w:sz w:val="28"/>
                <w:szCs w:val="28"/>
                <w:lang w:val="en-US" w:eastAsia="zh-CN" w:bidi="ar"/>
              </w:rPr>
              <w:t>备注</w:t>
            </w:r>
          </w:p>
        </w:tc>
      </w:tr>
      <w:tr>
        <w:tblPrEx>
          <w:tblCellMar>
            <w:top w:w="0" w:type="dxa"/>
            <w:left w:w="0" w:type="dxa"/>
            <w:bottom w:w="0" w:type="dxa"/>
            <w:right w:w="0" w:type="dxa"/>
          </w:tblCellMar>
        </w:tblPrEx>
        <w:trPr>
          <w:trHeight w:val="612" w:hRule="atLeast"/>
          <w:jc w:val="center"/>
        </w:trPr>
        <w:tc>
          <w:tcPr>
            <w:tcW w:w="297"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auto"/>
                <w:kern w:val="0"/>
                <w:sz w:val="28"/>
                <w:szCs w:val="28"/>
                <w:lang w:val="en-US" w:eastAsia="zh-CN" w:bidi="ar"/>
              </w:rPr>
            </w:pPr>
            <w:r>
              <w:rPr>
                <w:rFonts w:ascii="微软雅黑" w:hAnsi="微软雅黑" w:eastAsia="微软雅黑" w:cs="微软雅黑"/>
                <w:color w:val="auto"/>
                <w:kern w:val="0"/>
                <w:sz w:val="28"/>
                <w:szCs w:val="28"/>
                <w:lang w:val="en-US" w:eastAsia="zh-CN" w:bidi="ar"/>
              </w:rPr>
              <w:t>1</w:t>
            </w:r>
          </w:p>
        </w:tc>
        <w:tc>
          <w:tcPr>
            <w:tcW w:w="746"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auto"/>
                <w:kern w:val="0"/>
                <w:sz w:val="28"/>
                <w:szCs w:val="28"/>
                <w:lang w:val="en-US" w:eastAsia="zh-CN" w:bidi="ar"/>
              </w:rPr>
            </w:pPr>
          </w:p>
          <w:p>
            <w:pPr>
              <w:jc w:val="center"/>
              <w:rPr>
                <w:rFonts w:ascii="微软雅黑" w:hAnsi="微软雅黑" w:eastAsia="微软雅黑" w:cs="微软雅黑"/>
                <w:color w:val="auto"/>
                <w:kern w:val="0"/>
                <w:sz w:val="28"/>
                <w:szCs w:val="28"/>
                <w:lang w:val="en-US" w:eastAsia="zh-CN" w:bidi="ar"/>
              </w:rPr>
            </w:pPr>
          </w:p>
        </w:tc>
        <w:tc>
          <w:tcPr>
            <w:tcW w:w="1326" w:type="pct"/>
            <w:gridSpan w:val="2"/>
            <w:tcBorders>
              <w:top w:val="single" w:color="auto" w:sz="8" w:space="0"/>
              <w:left w:val="single" w:color="auto" w:sz="8" w:space="0"/>
              <w:bottom w:val="single" w:color="auto" w:sz="8" w:space="0"/>
              <w:right w:val="single" w:color="auto" w:sz="4" w:space="0"/>
            </w:tcBorders>
            <w:noWrap w:val="0"/>
            <w:tcMar>
              <w:left w:w="108" w:type="dxa"/>
              <w:right w:w="108" w:type="dxa"/>
            </w:tcMar>
            <w:vAlign w:val="center"/>
          </w:tcPr>
          <w:p>
            <w:pPr>
              <w:jc w:val="center"/>
              <w:rPr>
                <w:rFonts w:ascii="微软雅黑" w:hAnsi="微软雅黑" w:eastAsia="微软雅黑" w:cs="微软雅黑"/>
                <w:color w:val="auto"/>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auto"/>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auto"/>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auto"/>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auto"/>
                <w:kern w:val="0"/>
                <w:sz w:val="28"/>
                <w:szCs w:val="28"/>
                <w:lang w:val="en-US" w:eastAsia="zh-CN" w:bidi="ar"/>
              </w:rPr>
            </w:pPr>
          </w:p>
        </w:tc>
        <w:tc>
          <w:tcPr>
            <w:tcW w:w="529"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auto"/>
                <w:kern w:val="0"/>
                <w:sz w:val="28"/>
                <w:szCs w:val="28"/>
                <w:lang w:val="en-US" w:eastAsia="zh-CN" w:bidi="ar"/>
              </w:rPr>
            </w:pPr>
          </w:p>
        </w:tc>
      </w:tr>
      <w:tr>
        <w:tblPrEx>
          <w:tblCellMar>
            <w:top w:w="0" w:type="dxa"/>
            <w:left w:w="0" w:type="dxa"/>
            <w:bottom w:w="0" w:type="dxa"/>
            <w:right w:w="0" w:type="dxa"/>
          </w:tblCellMar>
        </w:tblPrEx>
        <w:trPr>
          <w:trHeight w:val="712" w:hRule="atLeast"/>
          <w:jc w:val="center"/>
        </w:trPr>
        <w:tc>
          <w:tcPr>
            <w:tcW w:w="297"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auto"/>
                <w:kern w:val="0"/>
                <w:sz w:val="28"/>
                <w:szCs w:val="28"/>
                <w:lang w:val="en-US" w:eastAsia="zh-CN" w:bidi="ar"/>
              </w:rPr>
            </w:pPr>
            <w:r>
              <w:rPr>
                <w:rFonts w:ascii="微软雅黑" w:hAnsi="微软雅黑" w:eastAsia="微软雅黑" w:cs="微软雅黑"/>
                <w:color w:val="auto"/>
                <w:kern w:val="0"/>
                <w:sz w:val="28"/>
                <w:szCs w:val="28"/>
                <w:lang w:val="en-US" w:eastAsia="zh-CN" w:bidi="ar"/>
              </w:rPr>
              <w:t>2</w:t>
            </w:r>
          </w:p>
        </w:tc>
        <w:tc>
          <w:tcPr>
            <w:tcW w:w="746"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auto"/>
                <w:kern w:val="0"/>
                <w:sz w:val="28"/>
                <w:szCs w:val="28"/>
                <w:lang w:val="en-US" w:eastAsia="zh-CN" w:bidi="ar"/>
              </w:rPr>
            </w:pPr>
          </w:p>
          <w:p>
            <w:pPr>
              <w:jc w:val="center"/>
              <w:rPr>
                <w:rFonts w:ascii="微软雅黑" w:hAnsi="微软雅黑" w:eastAsia="微软雅黑" w:cs="微软雅黑"/>
                <w:color w:val="auto"/>
                <w:kern w:val="0"/>
                <w:sz w:val="28"/>
                <w:szCs w:val="28"/>
                <w:lang w:val="en-US" w:eastAsia="zh-CN" w:bidi="ar"/>
              </w:rPr>
            </w:pPr>
          </w:p>
        </w:tc>
        <w:tc>
          <w:tcPr>
            <w:tcW w:w="1326" w:type="pct"/>
            <w:gridSpan w:val="2"/>
            <w:tcBorders>
              <w:top w:val="single" w:color="auto" w:sz="8" w:space="0"/>
              <w:left w:val="single" w:color="auto" w:sz="8" w:space="0"/>
              <w:bottom w:val="single" w:color="auto" w:sz="8" w:space="0"/>
              <w:right w:val="single" w:color="auto" w:sz="4" w:space="0"/>
            </w:tcBorders>
            <w:noWrap w:val="0"/>
            <w:tcMar>
              <w:left w:w="108" w:type="dxa"/>
              <w:right w:w="108" w:type="dxa"/>
            </w:tcMar>
            <w:vAlign w:val="center"/>
          </w:tcPr>
          <w:p>
            <w:pPr>
              <w:jc w:val="center"/>
              <w:rPr>
                <w:rFonts w:ascii="微软雅黑" w:hAnsi="微软雅黑" w:eastAsia="微软雅黑" w:cs="微软雅黑"/>
                <w:color w:val="auto"/>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auto"/>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auto"/>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auto"/>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auto"/>
                <w:kern w:val="0"/>
                <w:sz w:val="28"/>
                <w:szCs w:val="28"/>
                <w:lang w:val="en-US" w:eastAsia="zh-CN" w:bidi="ar"/>
              </w:rPr>
            </w:pPr>
          </w:p>
        </w:tc>
        <w:tc>
          <w:tcPr>
            <w:tcW w:w="529"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auto"/>
                <w:kern w:val="0"/>
                <w:sz w:val="28"/>
                <w:szCs w:val="28"/>
                <w:lang w:val="en-US" w:eastAsia="zh-CN" w:bidi="ar"/>
              </w:rPr>
            </w:pPr>
          </w:p>
        </w:tc>
      </w:tr>
      <w:tr>
        <w:tblPrEx>
          <w:tblCellMar>
            <w:top w:w="0" w:type="dxa"/>
            <w:left w:w="0" w:type="dxa"/>
            <w:bottom w:w="0" w:type="dxa"/>
            <w:right w:w="0" w:type="dxa"/>
          </w:tblCellMar>
        </w:tblPrEx>
        <w:trPr>
          <w:trHeight w:val="695" w:hRule="atLeast"/>
          <w:jc w:val="center"/>
        </w:trPr>
        <w:tc>
          <w:tcPr>
            <w:tcW w:w="297"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auto"/>
                <w:kern w:val="0"/>
                <w:sz w:val="28"/>
                <w:szCs w:val="28"/>
                <w:lang w:val="en-US" w:eastAsia="zh-CN" w:bidi="ar"/>
              </w:rPr>
            </w:pPr>
            <w:r>
              <w:rPr>
                <w:rFonts w:ascii="微软雅黑" w:hAnsi="微软雅黑" w:eastAsia="微软雅黑" w:cs="微软雅黑"/>
                <w:color w:val="auto"/>
                <w:kern w:val="0"/>
                <w:sz w:val="28"/>
                <w:szCs w:val="28"/>
                <w:lang w:val="en-US" w:eastAsia="zh-CN" w:bidi="ar"/>
              </w:rPr>
              <w:t>3</w:t>
            </w:r>
          </w:p>
        </w:tc>
        <w:tc>
          <w:tcPr>
            <w:tcW w:w="746"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auto"/>
                <w:kern w:val="0"/>
                <w:sz w:val="28"/>
                <w:szCs w:val="28"/>
                <w:lang w:val="en-US" w:eastAsia="zh-CN" w:bidi="ar"/>
              </w:rPr>
            </w:pPr>
          </w:p>
          <w:p>
            <w:pPr>
              <w:jc w:val="center"/>
              <w:rPr>
                <w:rFonts w:ascii="微软雅黑" w:hAnsi="微软雅黑" w:eastAsia="微软雅黑" w:cs="微软雅黑"/>
                <w:color w:val="auto"/>
                <w:kern w:val="0"/>
                <w:sz w:val="28"/>
                <w:szCs w:val="28"/>
                <w:lang w:val="en-US" w:eastAsia="zh-CN" w:bidi="ar"/>
              </w:rPr>
            </w:pPr>
          </w:p>
        </w:tc>
        <w:tc>
          <w:tcPr>
            <w:tcW w:w="1326" w:type="pct"/>
            <w:gridSpan w:val="2"/>
            <w:tcBorders>
              <w:top w:val="single" w:color="auto" w:sz="8" w:space="0"/>
              <w:left w:val="single" w:color="auto" w:sz="8" w:space="0"/>
              <w:bottom w:val="single" w:color="auto" w:sz="8" w:space="0"/>
              <w:right w:val="single" w:color="auto" w:sz="4" w:space="0"/>
            </w:tcBorders>
            <w:noWrap w:val="0"/>
            <w:tcMar>
              <w:left w:w="108" w:type="dxa"/>
              <w:right w:w="108" w:type="dxa"/>
            </w:tcMar>
            <w:vAlign w:val="center"/>
          </w:tcPr>
          <w:p>
            <w:pPr>
              <w:jc w:val="center"/>
              <w:rPr>
                <w:rFonts w:ascii="微软雅黑" w:hAnsi="微软雅黑" w:eastAsia="微软雅黑" w:cs="微软雅黑"/>
                <w:color w:val="auto"/>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auto"/>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auto"/>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auto"/>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auto"/>
                <w:kern w:val="0"/>
                <w:sz w:val="28"/>
                <w:szCs w:val="28"/>
                <w:lang w:val="en-US" w:eastAsia="zh-CN" w:bidi="ar"/>
              </w:rPr>
            </w:pPr>
          </w:p>
        </w:tc>
        <w:tc>
          <w:tcPr>
            <w:tcW w:w="529"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auto"/>
                <w:kern w:val="0"/>
                <w:sz w:val="28"/>
                <w:szCs w:val="28"/>
                <w:lang w:val="en-US" w:eastAsia="zh-CN" w:bidi="ar"/>
              </w:rPr>
            </w:pPr>
          </w:p>
        </w:tc>
      </w:tr>
      <w:tr>
        <w:tblPrEx>
          <w:tblCellMar>
            <w:top w:w="0" w:type="dxa"/>
            <w:left w:w="0" w:type="dxa"/>
            <w:bottom w:w="0" w:type="dxa"/>
            <w:right w:w="0" w:type="dxa"/>
          </w:tblCellMar>
        </w:tblPrEx>
        <w:trPr>
          <w:trHeight w:val="719" w:hRule="atLeast"/>
          <w:jc w:val="center"/>
        </w:trPr>
        <w:tc>
          <w:tcPr>
            <w:tcW w:w="1553" w:type="pct"/>
            <w:gridSpan w:val="3"/>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auto"/>
                <w:kern w:val="0"/>
                <w:sz w:val="28"/>
                <w:szCs w:val="28"/>
                <w:lang w:val="en-US" w:eastAsia="zh-CN" w:bidi="ar"/>
              </w:rPr>
            </w:pPr>
            <w:r>
              <w:rPr>
                <w:rFonts w:hint="eastAsia" w:ascii="微软雅黑" w:hAnsi="微软雅黑" w:eastAsia="微软雅黑" w:cs="微软雅黑"/>
                <w:color w:val="auto"/>
                <w:kern w:val="0"/>
                <w:sz w:val="28"/>
                <w:szCs w:val="28"/>
                <w:lang w:val="en-US" w:eastAsia="zh-CN" w:bidi="ar"/>
              </w:rPr>
              <w:t>报价总金额</w:t>
            </w:r>
          </w:p>
        </w:tc>
        <w:tc>
          <w:tcPr>
            <w:tcW w:w="3446" w:type="pct"/>
            <w:gridSpan w:val="6"/>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left"/>
              <w:rPr>
                <w:rFonts w:ascii="微软雅黑" w:hAnsi="微软雅黑" w:eastAsia="微软雅黑" w:cs="微软雅黑"/>
                <w:color w:val="auto"/>
                <w:kern w:val="0"/>
                <w:sz w:val="28"/>
                <w:szCs w:val="28"/>
                <w:lang w:val="en-US" w:eastAsia="zh-CN" w:bidi="ar"/>
              </w:rPr>
            </w:pPr>
            <w:r>
              <w:rPr>
                <w:rFonts w:hint="eastAsia" w:ascii="微软雅黑" w:hAnsi="微软雅黑" w:eastAsia="微软雅黑" w:cs="微软雅黑"/>
                <w:color w:val="auto"/>
                <w:kern w:val="0"/>
                <w:sz w:val="28"/>
                <w:szCs w:val="28"/>
                <w:lang w:val="en-US" w:eastAsia="zh-CN" w:bidi="ar"/>
              </w:rPr>
              <w:t>人民币大写：</w:t>
            </w:r>
            <w:r>
              <w:rPr>
                <w:rFonts w:ascii="微软雅黑" w:hAnsi="微软雅黑" w:eastAsia="微软雅黑" w:cs="微软雅黑"/>
                <w:color w:val="auto"/>
                <w:kern w:val="0"/>
                <w:sz w:val="28"/>
                <w:szCs w:val="28"/>
                <w:lang w:val="en-US" w:eastAsia="zh-CN" w:bidi="ar"/>
              </w:rPr>
              <w:t xml:space="preserve">                 </w:t>
            </w:r>
          </w:p>
          <w:p>
            <w:pPr>
              <w:rPr>
                <w:rFonts w:ascii="微软雅黑" w:hAnsi="微软雅黑" w:eastAsia="微软雅黑" w:cs="微软雅黑"/>
                <w:color w:val="auto"/>
                <w:kern w:val="0"/>
                <w:sz w:val="28"/>
                <w:szCs w:val="28"/>
                <w:lang w:val="en-US" w:eastAsia="zh-CN" w:bidi="ar"/>
              </w:rPr>
            </w:pPr>
            <w:r>
              <w:rPr>
                <w:rFonts w:hint="eastAsia" w:ascii="微软雅黑" w:hAnsi="微软雅黑" w:eastAsia="微软雅黑" w:cs="微软雅黑"/>
                <w:color w:val="auto"/>
                <w:kern w:val="0"/>
                <w:sz w:val="28"/>
                <w:szCs w:val="28"/>
                <w:lang w:val="en-US" w:eastAsia="zh-CN" w:bidi="ar"/>
              </w:rPr>
              <w:t>小写：</w:t>
            </w:r>
          </w:p>
        </w:tc>
      </w:tr>
    </w:tbl>
    <w:p>
      <w:pPr>
        <w:rPr>
          <w:rFonts w:hint="eastAsia" w:ascii="微软雅黑" w:hAnsi="微软雅黑" w:eastAsia="微软雅黑" w:cs="微软雅黑"/>
          <w:color w:val="auto"/>
          <w:kern w:val="0"/>
          <w:sz w:val="28"/>
          <w:szCs w:val="28"/>
          <w:lang w:val="en-US" w:eastAsia="zh-CN" w:bidi="ar"/>
        </w:rPr>
      </w:pPr>
      <w:r>
        <w:rPr>
          <w:rFonts w:hint="eastAsia" w:ascii="微软雅黑" w:hAnsi="微软雅黑" w:eastAsia="微软雅黑" w:cs="微软雅黑"/>
          <w:color w:val="auto"/>
          <w:kern w:val="0"/>
          <w:sz w:val="28"/>
          <w:szCs w:val="28"/>
          <w:lang w:val="en-US" w:eastAsia="zh-CN" w:bidi="ar"/>
        </w:rPr>
        <w:t>注：报价不得超出项目预算。报价超出预算为无效投标。</w:t>
      </w:r>
    </w:p>
    <w:p>
      <w:pPr>
        <w:rPr>
          <w:rFonts w:ascii="微软雅黑" w:hAnsi="微软雅黑" w:eastAsia="微软雅黑" w:cs="微软雅黑"/>
          <w:color w:val="auto"/>
          <w:kern w:val="0"/>
          <w:sz w:val="28"/>
          <w:szCs w:val="28"/>
          <w:lang w:val="en-US" w:eastAsia="zh-CN" w:bidi="ar"/>
        </w:rPr>
      </w:pPr>
      <w:r>
        <w:rPr>
          <w:rFonts w:hint="eastAsia" w:ascii="微软雅黑" w:hAnsi="微软雅黑" w:eastAsia="微软雅黑" w:cs="微软雅黑"/>
          <w:color w:val="auto"/>
          <w:kern w:val="0"/>
          <w:sz w:val="28"/>
          <w:szCs w:val="28"/>
          <w:lang w:val="en-US" w:eastAsia="zh-CN" w:bidi="ar"/>
        </w:rPr>
        <w:t>供应商单位名称： XXXXXXXXXXXX（加盖公章）</w:t>
      </w:r>
    </w:p>
    <w:p>
      <w:pPr>
        <w:rPr>
          <w:rFonts w:ascii="微软雅黑" w:hAnsi="微软雅黑" w:eastAsia="微软雅黑" w:cs="微软雅黑"/>
          <w:color w:val="auto"/>
          <w:kern w:val="0"/>
          <w:sz w:val="28"/>
          <w:szCs w:val="28"/>
          <w:lang w:val="en-US" w:eastAsia="zh-CN" w:bidi="ar"/>
        </w:rPr>
      </w:pPr>
      <w:r>
        <w:rPr>
          <w:rFonts w:hint="eastAsia" w:ascii="微软雅黑" w:hAnsi="微软雅黑" w:eastAsia="微软雅黑" w:cs="微软雅黑"/>
          <w:color w:val="auto"/>
          <w:kern w:val="0"/>
          <w:sz w:val="28"/>
          <w:szCs w:val="28"/>
          <w:lang w:val="en-US" w:eastAsia="zh-CN" w:bidi="ar"/>
        </w:rPr>
        <w:t>法定代表人或委托代理人签字：</w:t>
      </w:r>
    </w:p>
    <w:p>
      <w:pPr>
        <w:rPr>
          <w:rFonts w:ascii="微软雅黑" w:hAnsi="微软雅黑" w:eastAsia="微软雅黑" w:cs="微软雅黑"/>
          <w:color w:val="auto"/>
          <w:kern w:val="0"/>
          <w:sz w:val="28"/>
          <w:szCs w:val="28"/>
          <w:lang w:val="en-US" w:eastAsia="zh-CN" w:bidi="ar"/>
        </w:rPr>
      </w:pPr>
      <w:r>
        <w:rPr>
          <w:rFonts w:hint="eastAsia" w:ascii="微软雅黑" w:hAnsi="微软雅黑" w:eastAsia="微软雅黑" w:cs="微软雅黑"/>
          <w:color w:val="auto"/>
          <w:kern w:val="0"/>
          <w:sz w:val="28"/>
          <w:szCs w:val="28"/>
          <w:lang w:val="en-US" w:eastAsia="zh-CN" w:bidi="ar"/>
        </w:rPr>
        <w:t>法定代表人或委托代理人联系电话：</w:t>
      </w:r>
    </w:p>
    <w:p>
      <w:pPr>
        <w:rPr>
          <w:rFonts w:ascii="微软雅黑" w:hAnsi="微软雅黑" w:eastAsia="微软雅黑" w:cs="微软雅黑"/>
          <w:color w:val="auto"/>
          <w:kern w:val="0"/>
          <w:sz w:val="28"/>
          <w:szCs w:val="28"/>
          <w:lang w:val="en-US" w:eastAsia="zh-CN" w:bidi="ar"/>
        </w:rPr>
      </w:pPr>
      <w:r>
        <w:rPr>
          <w:rFonts w:ascii="微软雅黑" w:hAnsi="微软雅黑" w:eastAsia="微软雅黑" w:cs="微软雅黑"/>
          <w:color w:val="auto"/>
          <w:kern w:val="0"/>
          <w:sz w:val="28"/>
          <w:szCs w:val="28"/>
          <w:lang w:val="en-US" w:eastAsia="zh-CN" w:bidi="ar"/>
        </w:rPr>
        <w:t xml:space="preserve">    </w:t>
      </w:r>
      <w:r>
        <w:rPr>
          <w:rFonts w:hint="eastAsia" w:ascii="微软雅黑" w:hAnsi="微软雅黑" w:eastAsia="微软雅黑" w:cs="微软雅黑"/>
          <w:color w:val="auto"/>
          <w:kern w:val="0"/>
          <w:sz w:val="28"/>
          <w:szCs w:val="28"/>
          <w:lang w:val="en-US" w:eastAsia="zh-CN" w:bidi="ar"/>
        </w:rPr>
        <w:t>注：①表内各栏按要求逐一填写、计算，表内各栏内容与实际内容不符的，可自行加行、加列。</w:t>
      </w:r>
    </w:p>
    <w:p>
      <w:pPr>
        <w:ind w:firstLine="980" w:firstLineChars="350"/>
        <w:rPr>
          <w:rFonts w:hint="eastAsia" w:ascii="微软雅黑" w:hAnsi="微软雅黑" w:eastAsia="微软雅黑" w:cs="微软雅黑"/>
          <w:color w:val="auto"/>
          <w:kern w:val="0"/>
          <w:sz w:val="28"/>
          <w:szCs w:val="28"/>
          <w:lang w:val="en-US" w:eastAsia="zh-CN" w:bidi="ar"/>
        </w:rPr>
      </w:pPr>
      <w:r>
        <w:rPr>
          <w:rFonts w:hint="eastAsia" w:ascii="微软雅黑" w:hAnsi="微软雅黑" w:eastAsia="微软雅黑" w:cs="微软雅黑"/>
          <w:color w:val="auto"/>
          <w:kern w:val="0"/>
          <w:sz w:val="28"/>
          <w:szCs w:val="28"/>
          <w:lang w:val="en-US" w:eastAsia="zh-CN" w:bidi="ar"/>
        </w:rPr>
        <w:t>②在不影响整体框架下，投标人可根据需要自行调整格式。</w:t>
      </w:r>
    </w:p>
    <w:p>
      <w:pPr>
        <w:rPr>
          <w:color w:val="auto"/>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altName w:val="宋体"/>
    <w:panose1 w:val="02010609060101010101"/>
    <w:charset w:val="86"/>
    <w:family w:val="auto"/>
    <w:pitch w:val="default"/>
    <w:sig w:usb0="00000000" w:usb1="00000000" w:usb2="00000016" w:usb3="00000000" w:csb0="00040001" w:csb1="00000000"/>
  </w:font>
  <w:font w:name="微软雅黑">
    <w:altName w:val="黑体"/>
    <w:panose1 w:val="020B0503020204020204"/>
    <w:charset w:val="86"/>
    <w:family w:val="auto"/>
    <w:pitch w:val="default"/>
    <w:sig w:usb0="00000000" w:usb1="0000000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F327DC"/>
    <w:multiLevelType w:val="singleLevel"/>
    <w:tmpl w:val="B3F327DC"/>
    <w:lvl w:ilvl="0" w:tentative="0">
      <w:start w:val="1"/>
      <w:numFmt w:val="decimal"/>
      <w:suff w:val="nothing"/>
      <w:lvlText w:val="%1、"/>
      <w:lvlJc w:val="left"/>
    </w:lvl>
  </w:abstractNum>
  <w:abstractNum w:abstractNumId="1">
    <w:nsid w:val="60D4AB01"/>
    <w:multiLevelType w:val="singleLevel"/>
    <w:tmpl w:val="60D4AB01"/>
    <w:lvl w:ilvl="0" w:tentative="0">
      <w:start w:val="5"/>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kMTI3ZGE1OWFkZjljMTM0MDgzNDEwYWM2NTQzMWYifQ=="/>
  </w:docVars>
  <w:rsids>
    <w:rsidRoot w:val="00000000"/>
    <w:rsid w:val="0009075B"/>
    <w:rsid w:val="018276FB"/>
    <w:rsid w:val="0E0164BA"/>
    <w:rsid w:val="130434A8"/>
    <w:rsid w:val="192502B2"/>
    <w:rsid w:val="1B6B7A07"/>
    <w:rsid w:val="1BE76B03"/>
    <w:rsid w:val="1DBD1A57"/>
    <w:rsid w:val="2C253215"/>
    <w:rsid w:val="2D35036C"/>
    <w:rsid w:val="348A74E7"/>
    <w:rsid w:val="34F90DD3"/>
    <w:rsid w:val="37BF35F3"/>
    <w:rsid w:val="429306C9"/>
    <w:rsid w:val="47B25233"/>
    <w:rsid w:val="4A49108A"/>
    <w:rsid w:val="4ED66C86"/>
    <w:rsid w:val="52253B13"/>
    <w:rsid w:val="58166A12"/>
    <w:rsid w:val="5E211A35"/>
    <w:rsid w:val="5F497D13"/>
    <w:rsid w:val="60CE77E7"/>
    <w:rsid w:val="61002A67"/>
    <w:rsid w:val="6CD209D6"/>
    <w:rsid w:val="714D3D25"/>
    <w:rsid w:val="722607B9"/>
    <w:rsid w:val="76B17382"/>
    <w:rsid w:val="79D15690"/>
    <w:rsid w:val="7A944128"/>
    <w:rsid w:val="7B4F512D"/>
    <w:rsid w:val="7D7637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13267</Words>
  <Characters>14511</Characters>
  <Lines>0</Lines>
  <Paragraphs>0</Paragraphs>
  <TotalTime>7</TotalTime>
  <ScaleCrop>false</ScaleCrop>
  <LinksUpToDate>false</LinksUpToDate>
  <CharactersWithSpaces>14886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2023-06-16T00:57:00Z</dcterms:created>
  <dc:creator>Administrator</dc:creator>
  <cp:lastModifiedBy>Administrator</cp:lastModifiedBy>
  <cp:lastPrinted>2025-12-01T01:44:00Z</cp:lastPrinted>
  <dcterms:modified xsi:type="dcterms:W3CDTF">2025-12-01T02:19:59Z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70908A4BAC4F4C939A136F0FD6AD3C23_13</vt:lpwstr>
  </property>
  <property fmtid="{D5CDD505-2E9C-101B-9397-08002B2CF9AE}" pid="4" name="KSOTemplateDocerSaveRecord">
    <vt:lpwstr>eyJoZGlkIjoiZTdkMTI3ZGE1OWFkZjljMTM0MDgzNDEwYWM2NTQzMWYiLCJ1c2VySWQiOiI1OTY4NDAxNzcifQ==</vt:lpwstr>
  </property>
</Properties>
</file>